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9E" w:rsidRPr="003E0315" w:rsidRDefault="00DD6A9E" w:rsidP="00DD6A9E">
      <w:pPr>
        <w:rPr>
          <w:b/>
          <w:sz w:val="20"/>
          <w:szCs w:val="20"/>
        </w:rPr>
      </w:pPr>
      <w:r w:rsidRPr="003E0315">
        <w:rPr>
          <w:b/>
          <w:sz w:val="20"/>
          <w:szCs w:val="20"/>
        </w:rPr>
        <w:t>RULES REGARDING THE USE OF ZERO RATING CERTIFICATES FOR PURCHASING ADVERTISING</w:t>
      </w:r>
    </w:p>
    <w:p w:rsidR="00460CC4" w:rsidRPr="003E0315" w:rsidRDefault="00460CC4" w:rsidP="00460CC4">
      <w:pPr>
        <w:rPr>
          <w:b/>
          <w:sz w:val="20"/>
          <w:szCs w:val="20"/>
          <w:lang w:val="en-GB"/>
        </w:rPr>
      </w:pPr>
    </w:p>
    <w:p w:rsidR="00460CC4" w:rsidRPr="003E0315" w:rsidRDefault="00251AB4" w:rsidP="00460CC4">
      <w:pPr>
        <w:rPr>
          <w:sz w:val="20"/>
          <w:szCs w:val="20"/>
        </w:rPr>
      </w:pPr>
      <w:r w:rsidRPr="003E0315">
        <w:rPr>
          <w:sz w:val="20"/>
          <w:szCs w:val="20"/>
          <w:lang w:val="en-GB"/>
        </w:rPr>
        <w:t>A</w:t>
      </w:r>
      <w:r w:rsidR="00460CC4" w:rsidRPr="003E0315">
        <w:rPr>
          <w:sz w:val="20"/>
          <w:szCs w:val="20"/>
          <w:lang w:val="en-GB"/>
        </w:rPr>
        <w:t>s the University has charitable status, it is able to benefit from VAT relief when purchasing advertising services</w:t>
      </w:r>
      <w:r w:rsidRPr="003E0315">
        <w:rPr>
          <w:sz w:val="20"/>
          <w:szCs w:val="20"/>
          <w:lang w:val="en-GB"/>
        </w:rPr>
        <w:t xml:space="preserve"> on any subject, including staff recruitment</w:t>
      </w:r>
      <w:r w:rsidR="009E5C48">
        <w:rPr>
          <w:sz w:val="20"/>
          <w:szCs w:val="20"/>
          <w:lang w:val="en-GB"/>
        </w:rPr>
        <w:t xml:space="preserve"> (Zero Rate Group 15, 8 or 8A).</w:t>
      </w:r>
      <w:r w:rsidR="00460CC4" w:rsidRPr="003E0315">
        <w:rPr>
          <w:sz w:val="20"/>
          <w:szCs w:val="20"/>
          <w:lang w:val="en-GB"/>
        </w:rPr>
        <w:t xml:space="preserve"> </w:t>
      </w:r>
      <w:r w:rsidRPr="003E0315">
        <w:rPr>
          <w:sz w:val="20"/>
          <w:szCs w:val="20"/>
        </w:rPr>
        <w:t>The charity may advertise in any medium which communicates with the public provided it is placed on someone else’s space or time.</w:t>
      </w:r>
    </w:p>
    <w:p w:rsidR="00251AB4" w:rsidRPr="003E0315" w:rsidRDefault="00251AB4" w:rsidP="00460CC4">
      <w:pPr>
        <w:rPr>
          <w:sz w:val="20"/>
          <w:szCs w:val="20"/>
        </w:rPr>
      </w:pPr>
    </w:p>
    <w:p w:rsidR="00251AB4" w:rsidRPr="003E0315" w:rsidRDefault="00251AB4" w:rsidP="00460CC4">
      <w:pPr>
        <w:rPr>
          <w:sz w:val="20"/>
          <w:szCs w:val="20"/>
        </w:rPr>
      </w:pPr>
      <w:r w:rsidRPr="003E0315">
        <w:rPr>
          <w:sz w:val="20"/>
          <w:szCs w:val="20"/>
        </w:rPr>
        <w:t xml:space="preserve">The supply of designing or producing an advertisement also qualifies for the </w:t>
      </w:r>
      <w:proofErr w:type="gramStart"/>
      <w:r w:rsidRPr="003E0315">
        <w:rPr>
          <w:sz w:val="20"/>
          <w:szCs w:val="20"/>
        </w:rPr>
        <w:t>relief</w:t>
      </w:r>
      <w:r w:rsidR="009E5C48">
        <w:rPr>
          <w:sz w:val="20"/>
          <w:szCs w:val="20"/>
        </w:rPr>
        <w:t xml:space="preserve">  </w:t>
      </w:r>
      <w:r w:rsidR="009E5C48">
        <w:rPr>
          <w:sz w:val="20"/>
          <w:szCs w:val="20"/>
          <w:lang w:val="en-GB"/>
        </w:rPr>
        <w:t>(</w:t>
      </w:r>
      <w:proofErr w:type="gramEnd"/>
      <w:r w:rsidR="009E5C48">
        <w:rPr>
          <w:sz w:val="20"/>
          <w:szCs w:val="20"/>
          <w:lang w:val="en-GB"/>
        </w:rPr>
        <w:t>Zero Rate Group 15,</w:t>
      </w:r>
      <w:r w:rsidR="009E5C48">
        <w:rPr>
          <w:sz w:val="20"/>
          <w:szCs w:val="20"/>
          <w:lang w:val="en-GB"/>
        </w:rPr>
        <w:t xml:space="preserve"> </w:t>
      </w:r>
      <w:bookmarkStart w:id="0" w:name="_GoBack"/>
      <w:bookmarkEnd w:id="0"/>
      <w:r w:rsidR="009E5C48">
        <w:rPr>
          <w:sz w:val="20"/>
          <w:szCs w:val="20"/>
          <w:lang w:val="en-GB"/>
        </w:rPr>
        <w:t>8B or 8C)</w:t>
      </w:r>
      <w:r w:rsidRPr="003E0315">
        <w:rPr>
          <w:sz w:val="20"/>
          <w:szCs w:val="20"/>
        </w:rPr>
        <w:t>. This includes the design of a poster or the filming of an advertisement to be broadcast. It also includes goods closely related to the design for example a photograph or image to include in an advertisement.</w:t>
      </w:r>
    </w:p>
    <w:p w:rsidR="00251AB4" w:rsidRPr="003E0315" w:rsidRDefault="00251AB4" w:rsidP="00460CC4">
      <w:pPr>
        <w:rPr>
          <w:sz w:val="20"/>
          <w:szCs w:val="20"/>
        </w:rPr>
      </w:pPr>
    </w:p>
    <w:tbl>
      <w:tblPr>
        <w:tblStyle w:val="TableGrid"/>
        <w:tblW w:w="0" w:type="auto"/>
        <w:tblLook w:val="04A0" w:firstRow="1" w:lastRow="0" w:firstColumn="1" w:lastColumn="0" w:noHBand="0" w:noVBand="1"/>
      </w:tblPr>
      <w:tblGrid>
        <w:gridCol w:w="4621"/>
        <w:gridCol w:w="4621"/>
      </w:tblGrid>
      <w:tr w:rsidR="00251AB4" w:rsidRPr="003E0315" w:rsidTr="00251AB4">
        <w:tc>
          <w:tcPr>
            <w:tcW w:w="4621" w:type="dxa"/>
          </w:tcPr>
          <w:p w:rsidR="00251AB4" w:rsidRPr="003E0315" w:rsidRDefault="00251AB4" w:rsidP="00460CC4">
            <w:pPr>
              <w:rPr>
                <w:sz w:val="20"/>
                <w:szCs w:val="20"/>
              </w:rPr>
            </w:pPr>
            <w:r w:rsidRPr="003E0315">
              <w:rPr>
                <w:sz w:val="20"/>
                <w:szCs w:val="20"/>
              </w:rPr>
              <w:t>Qualifying supplies</w:t>
            </w:r>
          </w:p>
        </w:tc>
        <w:tc>
          <w:tcPr>
            <w:tcW w:w="4621" w:type="dxa"/>
          </w:tcPr>
          <w:p w:rsidR="00251AB4" w:rsidRPr="003E0315" w:rsidRDefault="00251AB4" w:rsidP="00460CC4">
            <w:pPr>
              <w:rPr>
                <w:sz w:val="20"/>
                <w:szCs w:val="20"/>
              </w:rPr>
            </w:pPr>
            <w:r w:rsidRPr="003E0315">
              <w:rPr>
                <w:sz w:val="20"/>
                <w:szCs w:val="20"/>
              </w:rPr>
              <w:t>Non qualifying supplies</w:t>
            </w:r>
          </w:p>
        </w:tc>
      </w:tr>
      <w:tr w:rsidR="00251AB4" w:rsidRPr="003E0315" w:rsidTr="00251AB4">
        <w:tc>
          <w:tcPr>
            <w:tcW w:w="4621" w:type="dxa"/>
          </w:tcPr>
          <w:p w:rsidR="00251AB4" w:rsidRPr="003E0315" w:rsidRDefault="00251AB4" w:rsidP="00460CC4">
            <w:pPr>
              <w:rPr>
                <w:sz w:val="20"/>
                <w:szCs w:val="20"/>
              </w:rPr>
            </w:pPr>
            <w:r w:rsidRPr="003E0315">
              <w:rPr>
                <w:sz w:val="20"/>
                <w:szCs w:val="20"/>
              </w:rPr>
              <w:t>Advert in newspapers/publications</w:t>
            </w:r>
          </w:p>
          <w:p w:rsidR="00251AB4" w:rsidRPr="003E0315" w:rsidRDefault="00251AB4" w:rsidP="00460CC4">
            <w:pPr>
              <w:rPr>
                <w:sz w:val="20"/>
                <w:szCs w:val="20"/>
              </w:rPr>
            </w:pPr>
            <w:r w:rsidRPr="003E0315">
              <w:rPr>
                <w:sz w:val="20"/>
                <w:szCs w:val="20"/>
              </w:rPr>
              <w:t>Advert on TV, radio, cinema</w:t>
            </w:r>
          </w:p>
          <w:p w:rsidR="00251AB4" w:rsidRPr="003E0315" w:rsidRDefault="00251AB4" w:rsidP="00460CC4">
            <w:pPr>
              <w:rPr>
                <w:sz w:val="20"/>
                <w:szCs w:val="20"/>
              </w:rPr>
            </w:pPr>
            <w:r w:rsidRPr="003E0315">
              <w:rPr>
                <w:sz w:val="20"/>
                <w:szCs w:val="20"/>
              </w:rPr>
              <w:t>Advert on a website</w:t>
            </w:r>
          </w:p>
          <w:p w:rsidR="00251AB4" w:rsidRPr="003E0315" w:rsidRDefault="00251AB4" w:rsidP="00460CC4">
            <w:pPr>
              <w:rPr>
                <w:sz w:val="20"/>
                <w:szCs w:val="20"/>
              </w:rPr>
            </w:pPr>
            <w:r w:rsidRPr="003E0315">
              <w:rPr>
                <w:sz w:val="20"/>
                <w:szCs w:val="20"/>
              </w:rPr>
              <w:t xml:space="preserve">Advert on billboards, buses, calendars </w:t>
            </w:r>
            <w:proofErr w:type="spellStart"/>
            <w:r w:rsidRPr="003E0315">
              <w:rPr>
                <w:sz w:val="20"/>
                <w:szCs w:val="20"/>
              </w:rPr>
              <w:t>etc</w:t>
            </w:r>
            <w:proofErr w:type="spellEnd"/>
          </w:p>
          <w:p w:rsidR="00251AB4" w:rsidRPr="003E0315" w:rsidRDefault="00251AB4" w:rsidP="00460CC4">
            <w:pPr>
              <w:rPr>
                <w:sz w:val="20"/>
                <w:szCs w:val="20"/>
              </w:rPr>
            </w:pPr>
            <w:r w:rsidRPr="003E0315">
              <w:rPr>
                <w:sz w:val="20"/>
                <w:szCs w:val="20"/>
              </w:rPr>
              <w:t>Design and production of adverts</w:t>
            </w:r>
          </w:p>
          <w:p w:rsidR="00251AB4" w:rsidRPr="003E0315" w:rsidRDefault="00251AB4" w:rsidP="00460CC4">
            <w:pPr>
              <w:rPr>
                <w:sz w:val="20"/>
                <w:szCs w:val="20"/>
              </w:rPr>
            </w:pPr>
            <w:r w:rsidRPr="003E0315">
              <w:rPr>
                <w:sz w:val="20"/>
                <w:szCs w:val="20"/>
              </w:rPr>
              <w:t>Advertising posters and banners displayed on someone else’s property</w:t>
            </w:r>
          </w:p>
        </w:tc>
        <w:tc>
          <w:tcPr>
            <w:tcW w:w="4621" w:type="dxa"/>
          </w:tcPr>
          <w:p w:rsidR="00251AB4" w:rsidRPr="003E0315" w:rsidRDefault="00251AB4" w:rsidP="00460CC4">
            <w:pPr>
              <w:rPr>
                <w:sz w:val="20"/>
                <w:szCs w:val="20"/>
              </w:rPr>
            </w:pPr>
            <w:r w:rsidRPr="003E0315">
              <w:rPr>
                <w:sz w:val="20"/>
                <w:szCs w:val="20"/>
              </w:rPr>
              <w:t>Adverts on university website</w:t>
            </w:r>
          </w:p>
          <w:p w:rsidR="00251AB4" w:rsidRPr="003E0315" w:rsidRDefault="00251AB4" w:rsidP="00460CC4">
            <w:pPr>
              <w:rPr>
                <w:sz w:val="20"/>
                <w:szCs w:val="20"/>
              </w:rPr>
            </w:pPr>
            <w:r w:rsidRPr="003E0315">
              <w:rPr>
                <w:sz w:val="20"/>
                <w:szCs w:val="20"/>
              </w:rPr>
              <w:t>Costs relating to university website</w:t>
            </w:r>
          </w:p>
          <w:p w:rsidR="00251AB4" w:rsidRPr="003E0315" w:rsidRDefault="00251AB4" w:rsidP="00460CC4">
            <w:pPr>
              <w:rPr>
                <w:sz w:val="20"/>
                <w:szCs w:val="20"/>
              </w:rPr>
            </w:pPr>
            <w:r w:rsidRPr="003E0315">
              <w:rPr>
                <w:sz w:val="20"/>
                <w:szCs w:val="20"/>
              </w:rPr>
              <w:t>Commemorative items</w:t>
            </w:r>
          </w:p>
          <w:p w:rsidR="00251AB4" w:rsidRPr="003E0315" w:rsidRDefault="00251AB4" w:rsidP="00460CC4">
            <w:pPr>
              <w:rPr>
                <w:sz w:val="20"/>
                <w:szCs w:val="20"/>
              </w:rPr>
            </w:pPr>
            <w:r w:rsidRPr="003E0315">
              <w:rPr>
                <w:sz w:val="20"/>
                <w:szCs w:val="20"/>
              </w:rPr>
              <w:t>Direct marketing/telesales</w:t>
            </w:r>
          </w:p>
          <w:p w:rsidR="00251AB4" w:rsidRPr="003E0315" w:rsidRDefault="00251AB4" w:rsidP="00460CC4">
            <w:pPr>
              <w:rPr>
                <w:sz w:val="20"/>
                <w:szCs w:val="20"/>
              </w:rPr>
            </w:pPr>
            <w:r w:rsidRPr="003E0315">
              <w:rPr>
                <w:sz w:val="20"/>
                <w:szCs w:val="20"/>
              </w:rPr>
              <w:t>Costs relating to creation of own adverts</w:t>
            </w:r>
          </w:p>
          <w:p w:rsidR="00251AB4" w:rsidRPr="003E0315" w:rsidRDefault="00251AB4" w:rsidP="00460CC4">
            <w:pPr>
              <w:rPr>
                <w:sz w:val="20"/>
                <w:szCs w:val="20"/>
              </w:rPr>
            </w:pPr>
            <w:r w:rsidRPr="003E0315">
              <w:rPr>
                <w:sz w:val="20"/>
                <w:szCs w:val="20"/>
              </w:rPr>
              <w:t>Posters and banners for display on university property.</w:t>
            </w:r>
          </w:p>
        </w:tc>
      </w:tr>
    </w:tbl>
    <w:p w:rsidR="00251AB4" w:rsidRPr="003E0315" w:rsidRDefault="00251AB4" w:rsidP="00460CC4">
      <w:pPr>
        <w:rPr>
          <w:sz w:val="20"/>
          <w:szCs w:val="20"/>
        </w:rPr>
      </w:pPr>
    </w:p>
    <w:p w:rsidR="009F5832" w:rsidRPr="003E0315" w:rsidRDefault="009F5832" w:rsidP="00251AB4">
      <w:pPr>
        <w:rPr>
          <w:sz w:val="20"/>
          <w:szCs w:val="20"/>
        </w:rPr>
      </w:pPr>
      <w:r w:rsidRPr="003E0315">
        <w:rPr>
          <w:sz w:val="20"/>
          <w:szCs w:val="20"/>
        </w:rPr>
        <w:t>In addition to the VAT relief for supplies of advertising there is an Extra Statutory Concession that allows certain goods to be zero rated when used by a charity in connection with collecting donations.</w:t>
      </w:r>
    </w:p>
    <w:p w:rsidR="009F5832" w:rsidRPr="003E0315" w:rsidRDefault="009F5832" w:rsidP="00251AB4">
      <w:pPr>
        <w:rPr>
          <w:sz w:val="20"/>
          <w:szCs w:val="20"/>
        </w:rPr>
      </w:pPr>
    </w:p>
    <w:tbl>
      <w:tblPr>
        <w:tblStyle w:val="TableGrid"/>
        <w:tblW w:w="0" w:type="auto"/>
        <w:tblLook w:val="04A0" w:firstRow="1" w:lastRow="0" w:firstColumn="1" w:lastColumn="0" w:noHBand="0" w:noVBand="1"/>
      </w:tblPr>
      <w:tblGrid>
        <w:gridCol w:w="4621"/>
        <w:gridCol w:w="4621"/>
      </w:tblGrid>
      <w:tr w:rsidR="009F5832" w:rsidRPr="003E0315" w:rsidTr="009F5832">
        <w:tc>
          <w:tcPr>
            <w:tcW w:w="4621" w:type="dxa"/>
          </w:tcPr>
          <w:p w:rsidR="009F5832" w:rsidRPr="003E0315" w:rsidRDefault="009F5832" w:rsidP="00251AB4">
            <w:pPr>
              <w:rPr>
                <w:sz w:val="20"/>
                <w:szCs w:val="20"/>
              </w:rPr>
            </w:pPr>
            <w:r w:rsidRPr="003E0315">
              <w:rPr>
                <w:sz w:val="20"/>
                <w:szCs w:val="20"/>
              </w:rPr>
              <w:t>Qualifying goods</w:t>
            </w:r>
          </w:p>
        </w:tc>
        <w:tc>
          <w:tcPr>
            <w:tcW w:w="4621" w:type="dxa"/>
          </w:tcPr>
          <w:p w:rsidR="009F5832" w:rsidRPr="003E0315" w:rsidRDefault="009F5832" w:rsidP="00251AB4">
            <w:pPr>
              <w:rPr>
                <w:sz w:val="20"/>
                <w:szCs w:val="20"/>
              </w:rPr>
            </w:pPr>
            <w:r w:rsidRPr="003E0315">
              <w:rPr>
                <w:sz w:val="20"/>
                <w:szCs w:val="20"/>
              </w:rPr>
              <w:t>Non qualifying goods</w:t>
            </w:r>
          </w:p>
        </w:tc>
      </w:tr>
      <w:tr w:rsidR="009F5832" w:rsidRPr="003E0315" w:rsidTr="009F5832">
        <w:tc>
          <w:tcPr>
            <w:tcW w:w="4621" w:type="dxa"/>
          </w:tcPr>
          <w:p w:rsidR="009F5832" w:rsidRPr="003E0315" w:rsidRDefault="009F5832" w:rsidP="00251AB4">
            <w:pPr>
              <w:rPr>
                <w:sz w:val="20"/>
                <w:szCs w:val="20"/>
              </w:rPr>
            </w:pPr>
            <w:r w:rsidRPr="003E0315">
              <w:rPr>
                <w:sz w:val="20"/>
                <w:szCs w:val="20"/>
              </w:rPr>
              <w:t>Collecting envelopes</w:t>
            </w:r>
          </w:p>
          <w:p w:rsidR="009F5832" w:rsidRPr="003E0315" w:rsidRDefault="009F5832" w:rsidP="00251AB4">
            <w:pPr>
              <w:rPr>
                <w:sz w:val="20"/>
                <w:szCs w:val="20"/>
              </w:rPr>
            </w:pPr>
            <w:r w:rsidRPr="003E0315">
              <w:rPr>
                <w:sz w:val="20"/>
                <w:szCs w:val="20"/>
              </w:rPr>
              <w:t>Pre-printed appeal letters</w:t>
            </w:r>
          </w:p>
          <w:p w:rsidR="009F5832" w:rsidRPr="003E0315" w:rsidRDefault="009F5832" w:rsidP="00251AB4">
            <w:pPr>
              <w:rPr>
                <w:sz w:val="20"/>
                <w:szCs w:val="20"/>
              </w:rPr>
            </w:pPr>
            <w:r w:rsidRPr="003E0315">
              <w:rPr>
                <w:sz w:val="20"/>
                <w:szCs w:val="20"/>
              </w:rPr>
              <w:t>Envelopes used to send out appeal letters</w:t>
            </w:r>
          </w:p>
          <w:p w:rsidR="009F5832" w:rsidRPr="003E0315" w:rsidRDefault="009F5832" w:rsidP="00251AB4">
            <w:pPr>
              <w:rPr>
                <w:sz w:val="20"/>
                <w:szCs w:val="20"/>
              </w:rPr>
            </w:pPr>
            <w:r w:rsidRPr="003E0315">
              <w:rPr>
                <w:sz w:val="20"/>
                <w:szCs w:val="20"/>
              </w:rPr>
              <w:t>Collecting boxes, containers and specially designed buckets</w:t>
            </w:r>
          </w:p>
          <w:p w:rsidR="009F5832" w:rsidRPr="003E0315" w:rsidRDefault="009F5832" w:rsidP="00251AB4">
            <w:pPr>
              <w:rPr>
                <w:sz w:val="20"/>
                <w:szCs w:val="20"/>
              </w:rPr>
            </w:pPr>
            <w:r w:rsidRPr="003E0315">
              <w:rPr>
                <w:sz w:val="20"/>
                <w:szCs w:val="20"/>
              </w:rPr>
              <w:t>Lapel stickers and badges to be given free to donors</w:t>
            </w:r>
          </w:p>
        </w:tc>
        <w:tc>
          <w:tcPr>
            <w:tcW w:w="4621" w:type="dxa"/>
          </w:tcPr>
          <w:p w:rsidR="009F5832" w:rsidRPr="003E0315" w:rsidRDefault="003E0315" w:rsidP="00251AB4">
            <w:pPr>
              <w:rPr>
                <w:sz w:val="20"/>
                <w:szCs w:val="20"/>
              </w:rPr>
            </w:pPr>
            <w:r w:rsidRPr="003E0315">
              <w:rPr>
                <w:sz w:val="20"/>
                <w:szCs w:val="20"/>
              </w:rPr>
              <w:t>General stationery</w:t>
            </w:r>
          </w:p>
          <w:p w:rsidR="003E0315" w:rsidRPr="003E0315" w:rsidRDefault="003E0315" w:rsidP="00251AB4">
            <w:pPr>
              <w:rPr>
                <w:sz w:val="20"/>
                <w:szCs w:val="20"/>
              </w:rPr>
            </w:pPr>
            <w:r w:rsidRPr="003E0315">
              <w:rPr>
                <w:sz w:val="20"/>
                <w:szCs w:val="20"/>
              </w:rPr>
              <w:t>General purpose bucket</w:t>
            </w:r>
          </w:p>
          <w:p w:rsidR="003E0315" w:rsidRPr="003E0315" w:rsidRDefault="003E0315" w:rsidP="00251AB4">
            <w:pPr>
              <w:rPr>
                <w:sz w:val="20"/>
                <w:szCs w:val="20"/>
              </w:rPr>
            </w:pPr>
            <w:r w:rsidRPr="003E0315">
              <w:rPr>
                <w:sz w:val="20"/>
                <w:szCs w:val="20"/>
              </w:rPr>
              <w:t>Pin badges sold to raise money</w:t>
            </w:r>
          </w:p>
        </w:tc>
      </w:tr>
    </w:tbl>
    <w:p w:rsidR="009F5832" w:rsidRPr="003E0315" w:rsidRDefault="009F5832" w:rsidP="00251AB4">
      <w:pPr>
        <w:rPr>
          <w:b/>
          <w:sz w:val="20"/>
          <w:szCs w:val="20"/>
        </w:rPr>
      </w:pPr>
    </w:p>
    <w:p w:rsidR="009F5832" w:rsidRPr="003E0315" w:rsidRDefault="009F5832" w:rsidP="00251AB4">
      <w:pPr>
        <w:rPr>
          <w:b/>
          <w:sz w:val="20"/>
          <w:szCs w:val="20"/>
        </w:rPr>
      </w:pPr>
    </w:p>
    <w:p w:rsidR="00251AB4" w:rsidRPr="003E0315" w:rsidRDefault="00251AB4" w:rsidP="00251AB4">
      <w:pPr>
        <w:rPr>
          <w:b/>
          <w:sz w:val="20"/>
          <w:szCs w:val="20"/>
        </w:rPr>
      </w:pPr>
      <w:r w:rsidRPr="003E0315">
        <w:rPr>
          <w:b/>
          <w:sz w:val="20"/>
          <w:szCs w:val="20"/>
        </w:rPr>
        <w:t>Use of VAT Certificates in Oracle</w:t>
      </w:r>
    </w:p>
    <w:p w:rsidR="00251AB4" w:rsidRPr="003E0315" w:rsidRDefault="00251AB4" w:rsidP="00460CC4">
      <w:pPr>
        <w:rPr>
          <w:sz w:val="20"/>
          <w:szCs w:val="20"/>
          <w:lang w:val="en-GB"/>
        </w:rPr>
      </w:pPr>
    </w:p>
    <w:p w:rsidR="00251AB4" w:rsidRPr="003E0315" w:rsidRDefault="00251AB4" w:rsidP="00251AB4">
      <w:pPr>
        <w:rPr>
          <w:sz w:val="20"/>
          <w:szCs w:val="20"/>
        </w:rPr>
      </w:pPr>
      <w:r w:rsidRPr="003E0315">
        <w:rPr>
          <w:sz w:val="20"/>
          <w:szCs w:val="20"/>
        </w:rPr>
        <w:t xml:space="preserve">If you wish to select an item as eligible for VAT zero-rating under these conditions, you must select </w:t>
      </w:r>
      <w:r w:rsidR="003E0315" w:rsidRPr="003E0315">
        <w:rPr>
          <w:sz w:val="20"/>
          <w:szCs w:val="20"/>
        </w:rPr>
        <w:t>“Advertising</w:t>
      </w:r>
      <w:r w:rsidR="005A647F">
        <w:rPr>
          <w:sz w:val="20"/>
          <w:szCs w:val="20"/>
        </w:rPr>
        <w:t xml:space="preserve"> - External</w:t>
      </w:r>
      <w:r w:rsidR="003E0315" w:rsidRPr="003E0315">
        <w:rPr>
          <w:sz w:val="20"/>
          <w:szCs w:val="20"/>
        </w:rPr>
        <w:t xml:space="preserve">” </w:t>
      </w:r>
      <w:r w:rsidRPr="003E0315">
        <w:rPr>
          <w:sz w:val="20"/>
          <w:szCs w:val="20"/>
        </w:rPr>
        <w:t>in the appropriate drop down box in the Cart in Oracle.</w:t>
      </w:r>
    </w:p>
    <w:p w:rsidR="00251AB4" w:rsidRPr="003E0315" w:rsidRDefault="00251AB4" w:rsidP="00251AB4">
      <w:pPr>
        <w:rPr>
          <w:sz w:val="20"/>
          <w:szCs w:val="20"/>
        </w:rPr>
      </w:pPr>
    </w:p>
    <w:p w:rsidR="00251AB4" w:rsidRPr="003E0315" w:rsidRDefault="00251AB4" w:rsidP="00251AB4">
      <w:pPr>
        <w:rPr>
          <w:sz w:val="20"/>
          <w:szCs w:val="20"/>
        </w:rPr>
      </w:pPr>
      <w:r w:rsidRPr="003E0315">
        <w:rPr>
          <w:sz w:val="20"/>
          <w:szCs w:val="20"/>
        </w:rPr>
        <w:t xml:space="preserve">Once selected, currently you must complete the University VAT Zero-Rate Certificate (linked in Purchasing News), save it and attach it to your requisition.  This will then be attached to the Purchase Order which gets sent to your supplier in order to indicate that no VAT must be charged.  </w:t>
      </w:r>
    </w:p>
    <w:p w:rsidR="00251AB4" w:rsidRPr="003E0315" w:rsidRDefault="00251AB4" w:rsidP="00251AB4">
      <w:pPr>
        <w:rPr>
          <w:sz w:val="20"/>
          <w:szCs w:val="20"/>
        </w:rPr>
      </w:pPr>
    </w:p>
    <w:p w:rsidR="00251AB4" w:rsidRPr="003E0315" w:rsidRDefault="00251AB4" w:rsidP="00251AB4">
      <w:pPr>
        <w:rPr>
          <w:sz w:val="20"/>
          <w:szCs w:val="20"/>
        </w:rPr>
      </w:pPr>
      <w:r w:rsidRPr="003E0315">
        <w:rPr>
          <w:sz w:val="20"/>
          <w:szCs w:val="20"/>
        </w:rPr>
        <w:t>The certificate must also be attached for all purchases from both EU and non EU suppliers where you consider that the item is eligible for relief.  This will ensure that no Reverse Charge VAT is added to the cost of your item at the point of payment.</w:t>
      </w:r>
    </w:p>
    <w:p w:rsidR="00460CC4" w:rsidRPr="00A51134" w:rsidRDefault="00460CC4" w:rsidP="00251AB4">
      <w:pPr>
        <w:rPr>
          <w:rFonts w:ascii="Calibri" w:hAnsi="Calibri"/>
          <w:lang w:val="en-GB"/>
        </w:rPr>
      </w:pPr>
    </w:p>
    <w:p w:rsidR="003E0315" w:rsidRDefault="003E0315" w:rsidP="003E0315">
      <w:pPr>
        <w:jc w:val="both"/>
        <w:rPr>
          <w:sz w:val="20"/>
          <w:szCs w:val="20"/>
        </w:rPr>
      </w:pPr>
      <w:r>
        <w:rPr>
          <w:sz w:val="20"/>
          <w:szCs w:val="20"/>
        </w:rPr>
        <w:t>If in doubt or you require further clarification, please contact the following for further advice;</w:t>
      </w:r>
    </w:p>
    <w:p w:rsidR="00460CC4" w:rsidRDefault="00460CC4" w:rsidP="00460CC4">
      <w:pPr>
        <w:rPr>
          <w:rFonts w:ascii="Calibri" w:hAnsi="Calibri"/>
          <w:lang w:val="en-GB"/>
        </w:rPr>
      </w:pPr>
    </w:p>
    <w:p w:rsidR="003E0315" w:rsidRDefault="003E0315" w:rsidP="003E0315">
      <w:pPr>
        <w:jc w:val="both"/>
        <w:rPr>
          <w:sz w:val="20"/>
          <w:szCs w:val="20"/>
        </w:rPr>
      </w:pPr>
      <w:r>
        <w:rPr>
          <w:sz w:val="20"/>
          <w:szCs w:val="20"/>
        </w:rPr>
        <w:t xml:space="preserve">VAT Team:  </w:t>
      </w:r>
    </w:p>
    <w:p w:rsidR="003E0315" w:rsidRDefault="003E0315" w:rsidP="003E0315">
      <w:pPr>
        <w:jc w:val="both"/>
        <w:rPr>
          <w:sz w:val="20"/>
          <w:szCs w:val="20"/>
        </w:rPr>
      </w:pPr>
    </w:p>
    <w:p w:rsidR="003E0315" w:rsidRDefault="003E0315" w:rsidP="003E0315">
      <w:pPr>
        <w:jc w:val="both"/>
        <w:rPr>
          <w:sz w:val="20"/>
          <w:szCs w:val="20"/>
        </w:rPr>
      </w:pPr>
      <w:r>
        <w:rPr>
          <w:sz w:val="20"/>
          <w:szCs w:val="20"/>
        </w:rPr>
        <w:t>Georgina Romano</w:t>
      </w:r>
    </w:p>
    <w:p w:rsidR="003E0315" w:rsidRDefault="003E0315" w:rsidP="003E0315">
      <w:pPr>
        <w:jc w:val="both"/>
        <w:rPr>
          <w:sz w:val="20"/>
          <w:szCs w:val="20"/>
        </w:rPr>
      </w:pPr>
      <w:hyperlink r:id="rId7" w:history="1">
        <w:r w:rsidRPr="00160B8B">
          <w:rPr>
            <w:rStyle w:val="Hyperlink"/>
            <w:sz w:val="20"/>
            <w:szCs w:val="20"/>
          </w:rPr>
          <w:t>g.j.romano@bham.ac.uk</w:t>
        </w:r>
      </w:hyperlink>
    </w:p>
    <w:p w:rsidR="003E0315" w:rsidRDefault="003E0315" w:rsidP="003E0315">
      <w:pPr>
        <w:jc w:val="both"/>
        <w:rPr>
          <w:sz w:val="20"/>
          <w:szCs w:val="20"/>
        </w:rPr>
      </w:pPr>
      <w:proofErr w:type="gramStart"/>
      <w:r>
        <w:rPr>
          <w:sz w:val="20"/>
          <w:szCs w:val="20"/>
        </w:rPr>
        <w:t>x46100</w:t>
      </w:r>
      <w:proofErr w:type="gramEnd"/>
    </w:p>
    <w:p w:rsidR="003E0315" w:rsidRDefault="003E0315" w:rsidP="003E0315">
      <w:pPr>
        <w:jc w:val="both"/>
        <w:rPr>
          <w:sz w:val="20"/>
          <w:szCs w:val="20"/>
        </w:rPr>
      </w:pPr>
    </w:p>
    <w:p w:rsidR="003E0315" w:rsidRDefault="003E0315" w:rsidP="003E0315">
      <w:pPr>
        <w:jc w:val="both"/>
        <w:rPr>
          <w:sz w:val="20"/>
          <w:szCs w:val="20"/>
        </w:rPr>
      </w:pPr>
      <w:r>
        <w:rPr>
          <w:sz w:val="20"/>
          <w:szCs w:val="20"/>
        </w:rPr>
        <w:t>Heather Williams</w:t>
      </w:r>
    </w:p>
    <w:p w:rsidR="003E0315" w:rsidRDefault="003E0315" w:rsidP="003E0315">
      <w:pPr>
        <w:jc w:val="both"/>
        <w:rPr>
          <w:sz w:val="20"/>
          <w:szCs w:val="20"/>
        </w:rPr>
      </w:pPr>
      <w:hyperlink r:id="rId8" w:history="1">
        <w:r w:rsidRPr="00160B8B">
          <w:rPr>
            <w:rStyle w:val="Hyperlink"/>
            <w:sz w:val="20"/>
            <w:szCs w:val="20"/>
          </w:rPr>
          <w:t>h.r.williams@bham.ac.uk</w:t>
        </w:r>
      </w:hyperlink>
    </w:p>
    <w:p w:rsidR="003E0315" w:rsidRDefault="003E0315" w:rsidP="003E0315">
      <w:pPr>
        <w:jc w:val="both"/>
        <w:rPr>
          <w:sz w:val="20"/>
          <w:szCs w:val="20"/>
        </w:rPr>
      </w:pPr>
      <w:proofErr w:type="gramStart"/>
      <w:r>
        <w:rPr>
          <w:sz w:val="20"/>
          <w:szCs w:val="20"/>
        </w:rPr>
        <w:t>x46003</w:t>
      </w:r>
      <w:proofErr w:type="gramEnd"/>
    </w:p>
    <w:p w:rsidR="003E0315" w:rsidRDefault="003E0315" w:rsidP="003E0315">
      <w:pPr>
        <w:jc w:val="both"/>
        <w:rPr>
          <w:sz w:val="20"/>
          <w:szCs w:val="20"/>
        </w:rPr>
      </w:pPr>
    </w:p>
    <w:p w:rsidR="003E0315" w:rsidRDefault="003E0315" w:rsidP="003E0315">
      <w:pPr>
        <w:jc w:val="both"/>
        <w:rPr>
          <w:sz w:val="20"/>
          <w:szCs w:val="20"/>
        </w:rPr>
      </w:pPr>
      <w:r>
        <w:rPr>
          <w:sz w:val="20"/>
          <w:szCs w:val="20"/>
        </w:rPr>
        <w:t>VAThelpdesk@contacts.bham.ac.uk</w:t>
      </w:r>
    </w:p>
    <w:p w:rsidR="00A96C5A" w:rsidRDefault="00A96C5A"/>
    <w:sectPr w:rsidR="00A96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C52C3"/>
    <w:multiLevelType w:val="hybridMultilevel"/>
    <w:tmpl w:val="A350DFF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1C2FD7"/>
    <w:multiLevelType w:val="hybridMultilevel"/>
    <w:tmpl w:val="15A0E0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C4"/>
    <w:rsid w:val="00251AB4"/>
    <w:rsid w:val="003E0315"/>
    <w:rsid w:val="00460CC4"/>
    <w:rsid w:val="005A647F"/>
    <w:rsid w:val="009E5C48"/>
    <w:rsid w:val="009F5832"/>
    <w:rsid w:val="00A96C5A"/>
    <w:rsid w:val="00DD6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CC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0CC4"/>
    <w:rPr>
      <w:color w:val="0000FF"/>
      <w:u w:val="single"/>
    </w:rPr>
  </w:style>
  <w:style w:type="table" w:styleId="TableGrid">
    <w:name w:val="Table Grid"/>
    <w:basedOn w:val="TableNormal"/>
    <w:uiPriority w:val="59"/>
    <w:rsid w:val="00251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CC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0CC4"/>
    <w:rPr>
      <w:color w:val="0000FF"/>
      <w:u w:val="single"/>
    </w:rPr>
  </w:style>
  <w:style w:type="table" w:styleId="TableGrid">
    <w:name w:val="Table Grid"/>
    <w:basedOn w:val="TableNormal"/>
    <w:uiPriority w:val="59"/>
    <w:rsid w:val="00251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williams@bham.ac.uk" TargetMode="External"/><Relationship Id="rId3" Type="http://schemas.openxmlformats.org/officeDocument/2006/relationships/styles" Target="styles.xml"/><Relationship Id="rId7" Type="http://schemas.openxmlformats.org/officeDocument/2006/relationships/hyperlink" Target="mailto:g.j.romano@bham.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28F70-FFD4-4B0E-BD0C-4DC7B53B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Williams (Finance Office)</dc:creator>
  <cp:lastModifiedBy>Heather Williams (Finance Office)</cp:lastModifiedBy>
  <cp:revision>2</cp:revision>
  <dcterms:created xsi:type="dcterms:W3CDTF">2019-05-29T13:22:00Z</dcterms:created>
  <dcterms:modified xsi:type="dcterms:W3CDTF">2019-05-29T14:42:00Z</dcterms:modified>
</cp:coreProperties>
</file>