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F2CC" w14:textId="5E5C0C25" w:rsidR="00AC5B90" w:rsidRDefault="00633DB2"/>
    <w:p w14:paraId="0C4AD78A" w14:textId="2E3B726B" w:rsidR="007B5997" w:rsidRDefault="007B5997"/>
    <w:p w14:paraId="39A14FEF" w14:textId="10D0C573" w:rsidR="007B5997" w:rsidRDefault="007B5997" w:rsidP="007B5997">
      <w:pPr>
        <w:pStyle w:val="Title"/>
      </w:pPr>
      <w:r>
        <w:t>Images of Research 2020/21</w:t>
      </w:r>
    </w:p>
    <w:p w14:paraId="73BD4FE3" w14:textId="0441744E" w:rsidR="007B5997" w:rsidRDefault="005D77EE" w:rsidP="007B5997">
      <w:pPr>
        <w:pStyle w:val="Heading1"/>
      </w:pPr>
      <w:r>
        <w:t xml:space="preserve">Submission </w:t>
      </w:r>
      <w:r w:rsidR="00D21E8A">
        <w:t>g</w:t>
      </w:r>
      <w:r>
        <w:t xml:space="preserve">uidance </w:t>
      </w:r>
      <w:r w:rsidR="00D21E8A">
        <w:t>in practice</w:t>
      </w:r>
    </w:p>
    <w:p w14:paraId="06E7949E" w14:textId="77777777" w:rsidR="00A57BE9" w:rsidRDefault="00A57BE9" w:rsidP="00361C14"/>
    <w:p w14:paraId="60B69B0D" w14:textId="7087056A" w:rsidR="00162034" w:rsidRDefault="00D84111" w:rsidP="00361C14">
      <w:r>
        <w:t xml:space="preserve">Below we highlight some recent entries to </w:t>
      </w:r>
      <w:r w:rsidR="00D21E8A">
        <w:t>I</w:t>
      </w:r>
      <w:r>
        <w:t xml:space="preserve">mages of </w:t>
      </w:r>
      <w:r w:rsidR="00D21E8A">
        <w:t>R</w:t>
      </w:r>
      <w:r>
        <w:t xml:space="preserve">esearch that demonstrate some </w:t>
      </w:r>
      <w:r w:rsidR="00D21E8A">
        <w:t xml:space="preserve">of the </w:t>
      </w:r>
      <w:r>
        <w:t xml:space="preserve">key </w:t>
      </w:r>
      <w:r w:rsidR="00D21E8A">
        <w:t>guidance advice particularly well</w:t>
      </w:r>
      <w:r>
        <w:t xml:space="preserve">. The entries are separated into two headings – </w:t>
      </w:r>
      <w:r w:rsidR="00FA74D5">
        <w:t>images</w:t>
      </w:r>
      <w:r>
        <w:t xml:space="preserve"> </w:t>
      </w:r>
      <w:r w:rsidR="00FA74D5">
        <w:t xml:space="preserve">taken directly from research data, findings or of the subject of the research and then images which have been created by the researcher to </w:t>
      </w:r>
      <w:r w:rsidR="00441EAA">
        <w:t>represent their research.</w:t>
      </w:r>
    </w:p>
    <w:p w14:paraId="598F3666" w14:textId="77777777" w:rsidR="001D6791" w:rsidRDefault="001D6791" w:rsidP="00361C14"/>
    <w:p w14:paraId="14E69B8F" w14:textId="453A2217" w:rsidR="001D6791" w:rsidRDefault="001D6791" w:rsidP="00361C14">
      <w:r w:rsidRPr="001D6791">
        <w:t xml:space="preserve">Please note, the submission requirements and guidance have been updated from previous years. </w:t>
      </w:r>
      <w:r w:rsidR="00D90F2E">
        <w:t>A</w:t>
      </w:r>
      <w:r w:rsidRPr="001D6791">
        <w:t xml:space="preserve">lthough you are encouraged to review the </w:t>
      </w:r>
      <w:r w:rsidR="008F68F1">
        <w:t xml:space="preserve">examples below and </w:t>
      </w:r>
      <w:r w:rsidRPr="001D6791">
        <w:t xml:space="preserve">previous </w:t>
      </w:r>
      <w:r w:rsidR="008F68F1">
        <w:t xml:space="preserve">exhibition booklets, </w:t>
      </w:r>
      <w:r w:rsidRPr="001D6791">
        <w:t>please keep these potential changes in mind and refer to the submission requirements and guidance for the 2020/21 competition requirements.</w:t>
      </w:r>
    </w:p>
    <w:p w14:paraId="623A976F" w14:textId="77777777" w:rsidR="00D21E8A" w:rsidRDefault="00D21E8A" w:rsidP="00D84111"/>
    <w:p w14:paraId="62CB7601" w14:textId="648FF40A" w:rsidR="00D84111" w:rsidRDefault="00441EAA" w:rsidP="00D84111">
      <w:pPr>
        <w:pStyle w:val="Heading2"/>
      </w:pPr>
      <w:r>
        <w:t xml:space="preserve">Images of </w:t>
      </w:r>
      <w:r w:rsidR="00361C14">
        <w:t>R</w:t>
      </w:r>
      <w:r>
        <w:t>esearch</w:t>
      </w:r>
      <w:r w:rsidR="00361C14">
        <w:t>:</w:t>
      </w:r>
      <w:r>
        <w:t xml:space="preserve"> data, findings or subjects</w:t>
      </w:r>
    </w:p>
    <w:p w14:paraId="30ADA035" w14:textId="35FBFEE7" w:rsidR="00957B4A" w:rsidRDefault="00957B4A" w:rsidP="00957B4A"/>
    <w:p w14:paraId="6816F568" w14:textId="77777777" w:rsidR="006E68D8" w:rsidRPr="00A3010E" w:rsidRDefault="008F68F1" w:rsidP="006E68D8">
      <w:pPr>
        <w:pStyle w:val="ListParagraph"/>
        <w:numPr>
          <w:ilvl w:val="0"/>
          <w:numId w:val="1"/>
        </w:numPr>
        <w:rPr>
          <w:sz w:val="22"/>
          <w:szCs w:val="22"/>
        </w:rPr>
      </w:pPr>
      <w:r w:rsidRPr="00A3010E">
        <w:rPr>
          <w:sz w:val="22"/>
          <w:szCs w:val="22"/>
        </w:rPr>
        <w:t xml:space="preserve">Charlotte </w:t>
      </w:r>
      <w:r w:rsidR="00933CE2" w:rsidRPr="00A3010E">
        <w:rPr>
          <w:sz w:val="22"/>
          <w:szCs w:val="22"/>
        </w:rPr>
        <w:t>has used a CT scan as her image entry</w:t>
      </w:r>
      <w:r w:rsidR="006E68D8" w:rsidRPr="00A3010E">
        <w:rPr>
          <w:sz w:val="22"/>
          <w:szCs w:val="22"/>
        </w:rPr>
        <w:t>.</w:t>
      </w:r>
    </w:p>
    <w:p w14:paraId="1F6EBB10" w14:textId="1C8C4798" w:rsidR="008F68F1" w:rsidRPr="00A3010E" w:rsidRDefault="00C750D5" w:rsidP="009833C7">
      <w:pPr>
        <w:pStyle w:val="ListParagraph"/>
        <w:numPr>
          <w:ilvl w:val="0"/>
          <w:numId w:val="1"/>
        </w:numPr>
        <w:rPr>
          <w:sz w:val="22"/>
          <w:szCs w:val="22"/>
        </w:rPr>
      </w:pPr>
      <w:r w:rsidRPr="00A3010E">
        <w:rPr>
          <w:sz w:val="22"/>
          <w:szCs w:val="22"/>
        </w:rPr>
        <w:t>T</w:t>
      </w:r>
      <w:r w:rsidR="00933CE2" w:rsidRPr="00A3010E">
        <w:rPr>
          <w:sz w:val="22"/>
          <w:szCs w:val="22"/>
        </w:rPr>
        <w:t>he recognisable subject matter</w:t>
      </w:r>
      <w:r w:rsidRPr="00A3010E">
        <w:rPr>
          <w:sz w:val="22"/>
          <w:szCs w:val="22"/>
        </w:rPr>
        <w:t xml:space="preserve"> </w:t>
      </w:r>
      <w:r w:rsidR="000875CF" w:rsidRPr="00A3010E">
        <w:rPr>
          <w:sz w:val="22"/>
          <w:szCs w:val="22"/>
        </w:rPr>
        <w:t>intrigues the viewer to find out what animal the skull belongs to</w:t>
      </w:r>
      <w:r w:rsidR="00361C14" w:rsidRPr="00A3010E">
        <w:rPr>
          <w:sz w:val="22"/>
          <w:szCs w:val="22"/>
        </w:rPr>
        <w:t xml:space="preserve"> and th</w:t>
      </w:r>
      <w:r w:rsidR="000875CF" w:rsidRPr="00A3010E">
        <w:rPr>
          <w:sz w:val="22"/>
          <w:szCs w:val="22"/>
        </w:rPr>
        <w:t xml:space="preserve">e </w:t>
      </w:r>
      <w:r w:rsidR="006E68D8" w:rsidRPr="00A3010E">
        <w:rPr>
          <w:sz w:val="22"/>
          <w:szCs w:val="22"/>
        </w:rPr>
        <w:t xml:space="preserve">contrast of black and white with pops of bright colours is </w:t>
      </w:r>
      <w:r w:rsidRPr="00A3010E">
        <w:rPr>
          <w:sz w:val="22"/>
          <w:szCs w:val="22"/>
        </w:rPr>
        <w:t>visually a</w:t>
      </w:r>
      <w:r w:rsidR="006E68D8" w:rsidRPr="00A3010E">
        <w:rPr>
          <w:sz w:val="22"/>
          <w:szCs w:val="22"/>
        </w:rPr>
        <w:t>ppealing.</w:t>
      </w:r>
    </w:p>
    <w:p w14:paraId="15937761" w14:textId="072A9729" w:rsidR="006F4B05" w:rsidRPr="00A3010E" w:rsidRDefault="006F4B05" w:rsidP="006E68D8">
      <w:pPr>
        <w:pStyle w:val="ListParagraph"/>
        <w:numPr>
          <w:ilvl w:val="0"/>
          <w:numId w:val="1"/>
        </w:numPr>
        <w:rPr>
          <w:sz w:val="22"/>
          <w:szCs w:val="22"/>
        </w:rPr>
      </w:pPr>
      <w:r w:rsidRPr="00A3010E">
        <w:rPr>
          <w:sz w:val="22"/>
          <w:szCs w:val="22"/>
        </w:rPr>
        <w:t xml:space="preserve">The narrative links to the image </w:t>
      </w:r>
      <w:r w:rsidR="001A3035" w:rsidRPr="00A3010E">
        <w:rPr>
          <w:sz w:val="22"/>
          <w:szCs w:val="22"/>
        </w:rPr>
        <w:t>effectively</w:t>
      </w:r>
      <w:r w:rsidRPr="00A3010E">
        <w:rPr>
          <w:sz w:val="22"/>
          <w:szCs w:val="22"/>
        </w:rPr>
        <w:t xml:space="preserve"> and makes the importance of the research very clear</w:t>
      </w:r>
      <w:r w:rsidR="001A3035" w:rsidRPr="00A3010E">
        <w:rPr>
          <w:sz w:val="22"/>
          <w:szCs w:val="22"/>
        </w:rPr>
        <w:t>.</w:t>
      </w:r>
    </w:p>
    <w:p w14:paraId="07F5BF4A" w14:textId="77777777" w:rsidR="001A3035" w:rsidRPr="00957B4A" w:rsidRDefault="001A3035" w:rsidP="001A3035">
      <w:pPr>
        <w:pStyle w:val="ListParagraph"/>
      </w:pPr>
    </w:p>
    <w:tbl>
      <w:tblPr>
        <w:tblStyle w:val="TableGrid"/>
        <w:tblW w:w="9776" w:type="dxa"/>
        <w:tblLook w:val="04A0" w:firstRow="1" w:lastRow="0" w:firstColumn="1" w:lastColumn="0" w:noHBand="0" w:noVBand="1"/>
      </w:tblPr>
      <w:tblGrid>
        <w:gridCol w:w="2972"/>
        <w:gridCol w:w="6804"/>
      </w:tblGrid>
      <w:tr w:rsidR="00957B4A" w14:paraId="5284D16C" w14:textId="77777777" w:rsidTr="00CD326F">
        <w:trPr>
          <w:trHeight w:val="478"/>
        </w:trPr>
        <w:tc>
          <w:tcPr>
            <w:tcW w:w="2972" w:type="dxa"/>
            <w:vMerge w:val="restart"/>
          </w:tcPr>
          <w:p w14:paraId="7F55D2DC" w14:textId="77777777" w:rsidR="00957B4A" w:rsidRDefault="00957B4A" w:rsidP="00CD326F">
            <w:r>
              <w:rPr>
                <w:noProof/>
              </w:rPr>
              <w:drawing>
                <wp:inline distT="0" distB="0" distL="0" distR="0" wp14:anchorId="45C7522C" wp14:editId="0AA8421F">
                  <wp:extent cx="1548950" cy="1097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466" cy="1117481"/>
                          </a:xfrm>
                          <a:prstGeom prst="rect">
                            <a:avLst/>
                          </a:prstGeom>
                          <a:noFill/>
                          <a:ln>
                            <a:noFill/>
                          </a:ln>
                        </pic:spPr>
                      </pic:pic>
                    </a:graphicData>
                  </a:graphic>
                </wp:inline>
              </w:drawing>
            </w:r>
          </w:p>
        </w:tc>
        <w:tc>
          <w:tcPr>
            <w:tcW w:w="6804" w:type="dxa"/>
          </w:tcPr>
          <w:p w14:paraId="1A874593" w14:textId="77777777" w:rsidR="00957B4A" w:rsidRPr="0096752B" w:rsidRDefault="00957B4A" w:rsidP="00CD326F">
            <w:pPr>
              <w:spacing w:after="160" w:line="259" w:lineRule="auto"/>
              <w:rPr>
                <w:noProof/>
              </w:rPr>
            </w:pPr>
            <w:r w:rsidRPr="00D4596D">
              <w:rPr>
                <w:b/>
                <w:bCs/>
              </w:rPr>
              <w:t>Charlotte Bird - College of Life and Environmental Sciences</w:t>
            </w:r>
          </w:p>
        </w:tc>
      </w:tr>
      <w:tr w:rsidR="00957B4A" w14:paraId="3C8F2E00" w14:textId="77777777" w:rsidTr="00CD326F">
        <w:trPr>
          <w:trHeight w:val="444"/>
        </w:trPr>
        <w:tc>
          <w:tcPr>
            <w:tcW w:w="2972" w:type="dxa"/>
            <w:vMerge/>
          </w:tcPr>
          <w:p w14:paraId="4C62FED7" w14:textId="77777777" w:rsidR="00957B4A" w:rsidRPr="0096752B" w:rsidRDefault="00957B4A" w:rsidP="00CD326F">
            <w:pPr>
              <w:rPr>
                <w:noProof/>
              </w:rPr>
            </w:pPr>
          </w:p>
        </w:tc>
        <w:tc>
          <w:tcPr>
            <w:tcW w:w="6804" w:type="dxa"/>
          </w:tcPr>
          <w:p w14:paraId="0CD75972" w14:textId="77777777" w:rsidR="00957B4A" w:rsidRPr="00510C08" w:rsidRDefault="00957B4A" w:rsidP="00CD326F">
            <w:pPr>
              <w:spacing w:after="160" w:line="259" w:lineRule="auto"/>
              <w:rPr>
                <w:sz w:val="22"/>
                <w:szCs w:val="22"/>
              </w:rPr>
            </w:pPr>
            <w:r w:rsidRPr="00510C08">
              <w:rPr>
                <w:sz w:val="22"/>
                <w:szCs w:val="22"/>
              </w:rPr>
              <w:t>Virtual Palaeontology: Peering inside the skull</w:t>
            </w:r>
          </w:p>
        </w:tc>
      </w:tr>
      <w:tr w:rsidR="00957B4A" w14:paraId="6C564CA5" w14:textId="77777777" w:rsidTr="00CD326F">
        <w:trPr>
          <w:trHeight w:val="756"/>
        </w:trPr>
        <w:tc>
          <w:tcPr>
            <w:tcW w:w="2972" w:type="dxa"/>
            <w:vMerge/>
          </w:tcPr>
          <w:p w14:paraId="5BE489B2" w14:textId="77777777" w:rsidR="00957B4A" w:rsidRPr="0096752B" w:rsidRDefault="00957B4A" w:rsidP="00CD326F">
            <w:pPr>
              <w:rPr>
                <w:noProof/>
              </w:rPr>
            </w:pPr>
          </w:p>
        </w:tc>
        <w:tc>
          <w:tcPr>
            <w:tcW w:w="6804" w:type="dxa"/>
          </w:tcPr>
          <w:p w14:paraId="69834761" w14:textId="77777777" w:rsidR="00957B4A" w:rsidRPr="00510C08" w:rsidRDefault="00957B4A" w:rsidP="00CD326F">
            <w:pPr>
              <w:spacing w:after="160" w:line="259" w:lineRule="auto"/>
              <w:rPr>
                <w:sz w:val="22"/>
                <w:szCs w:val="22"/>
              </w:rPr>
            </w:pPr>
            <w:r w:rsidRPr="00510C08">
              <w:rPr>
                <w:sz w:val="22"/>
                <w:szCs w:val="22"/>
              </w:rPr>
              <w:t>Virtual palaeontology is pioneering the non-destructive study of fossils. As a researcher, I use CT scans to peer inside the skulls of extinct organisms and digitally reconstruct their anatomical features. This skull belongs to a cynodont (a, UCMP 40466), part of the evolutionary lineage leading to mammals. Through masking cavities (b), 3D models of the brain, inner ear and neurovascular anatomy (c) allow brain evolution in cynodonts to be assessed, with calculations of sensory capabilities and intelligence levels indicating behavioural patterns. Importantly, I will also investigate the bias in digital reconstruction techniques, an issue of multidisciplinary importance.</w:t>
            </w:r>
          </w:p>
        </w:tc>
      </w:tr>
    </w:tbl>
    <w:p w14:paraId="70AAF73D" w14:textId="77777777" w:rsidR="00957B4A" w:rsidRDefault="00957B4A" w:rsidP="00957B4A"/>
    <w:p w14:paraId="3A10C383" w14:textId="77777777" w:rsidR="00681FE2" w:rsidRDefault="00681FE2" w:rsidP="00957B4A"/>
    <w:p w14:paraId="3E0C8375" w14:textId="79B8209E" w:rsidR="00681FE2" w:rsidRDefault="00681FE2" w:rsidP="00957B4A"/>
    <w:p w14:paraId="27C84A15" w14:textId="49CEC4B2" w:rsidR="001A3035" w:rsidRDefault="001A3035" w:rsidP="00957B4A"/>
    <w:p w14:paraId="1C5CBBEE" w14:textId="77777777" w:rsidR="001A3035" w:rsidRDefault="001A3035" w:rsidP="00957B4A"/>
    <w:p w14:paraId="2A8CA762" w14:textId="17CDF2C1" w:rsidR="00681FE2" w:rsidRDefault="00681FE2" w:rsidP="00957B4A"/>
    <w:p w14:paraId="52E68B16" w14:textId="7172B4F0" w:rsidR="00510C08" w:rsidRDefault="00510C08" w:rsidP="00957B4A"/>
    <w:p w14:paraId="5894553F" w14:textId="77777777" w:rsidR="00510C08" w:rsidRDefault="00510C08" w:rsidP="00957B4A"/>
    <w:p w14:paraId="574AE665" w14:textId="77777777" w:rsidR="00FB3664" w:rsidRDefault="00FB3664" w:rsidP="00957B4A"/>
    <w:p w14:paraId="5F3ADDBF" w14:textId="77777777" w:rsidR="00681FE2" w:rsidRDefault="00681FE2" w:rsidP="00957B4A"/>
    <w:p w14:paraId="00C31117" w14:textId="5C72B2B9" w:rsidR="000030A2" w:rsidRPr="00A3010E" w:rsidRDefault="00957B4A" w:rsidP="00681FE2">
      <w:pPr>
        <w:pStyle w:val="ListParagraph"/>
        <w:numPr>
          <w:ilvl w:val="0"/>
          <w:numId w:val="2"/>
        </w:numPr>
        <w:rPr>
          <w:sz w:val="22"/>
          <w:szCs w:val="22"/>
        </w:rPr>
      </w:pPr>
      <w:r w:rsidRPr="00A3010E">
        <w:rPr>
          <w:sz w:val="22"/>
          <w:szCs w:val="22"/>
        </w:rPr>
        <w:t>David</w:t>
      </w:r>
      <w:r w:rsidR="00681FE2" w:rsidRPr="00A3010E">
        <w:rPr>
          <w:sz w:val="22"/>
          <w:szCs w:val="22"/>
        </w:rPr>
        <w:t>’s</w:t>
      </w:r>
      <w:r w:rsidRPr="00A3010E">
        <w:rPr>
          <w:sz w:val="22"/>
          <w:szCs w:val="22"/>
        </w:rPr>
        <w:t xml:space="preserve"> entry </w:t>
      </w:r>
      <w:r w:rsidR="00681FE2" w:rsidRPr="00A3010E">
        <w:rPr>
          <w:sz w:val="22"/>
          <w:szCs w:val="22"/>
        </w:rPr>
        <w:t>is a high resolution, well composed</w:t>
      </w:r>
      <w:r w:rsidR="000030A2" w:rsidRPr="00A3010E">
        <w:rPr>
          <w:sz w:val="22"/>
          <w:szCs w:val="22"/>
        </w:rPr>
        <w:t xml:space="preserve"> photo </w:t>
      </w:r>
      <w:r w:rsidRPr="00A3010E">
        <w:rPr>
          <w:sz w:val="22"/>
          <w:szCs w:val="22"/>
        </w:rPr>
        <w:t xml:space="preserve">of a </w:t>
      </w:r>
      <w:r w:rsidR="00510C08" w:rsidRPr="00A3010E">
        <w:rPr>
          <w:sz w:val="22"/>
          <w:szCs w:val="22"/>
        </w:rPr>
        <w:t>grey-haired</w:t>
      </w:r>
      <w:r w:rsidRPr="00A3010E">
        <w:rPr>
          <w:sz w:val="22"/>
          <w:szCs w:val="22"/>
        </w:rPr>
        <w:t xml:space="preserve"> eastern chimpanzee. </w:t>
      </w:r>
    </w:p>
    <w:p w14:paraId="0FA30482" w14:textId="58BDA4D6" w:rsidR="00957B4A" w:rsidRPr="00A3010E" w:rsidRDefault="000030A2" w:rsidP="00681FE2">
      <w:pPr>
        <w:pStyle w:val="ListParagraph"/>
        <w:numPr>
          <w:ilvl w:val="0"/>
          <w:numId w:val="2"/>
        </w:numPr>
        <w:rPr>
          <w:sz w:val="22"/>
          <w:szCs w:val="22"/>
        </w:rPr>
      </w:pPr>
      <w:r w:rsidRPr="00A3010E">
        <w:rPr>
          <w:sz w:val="22"/>
          <w:szCs w:val="22"/>
        </w:rPr>
        <w:t xml:space="preserve">The title is particularly effective </w:t>
      </w:r>
      <w:r w:rsidR="000334A3" w:rsidRPr="00A3010E">
        <w:rPr>
          <w:sz w:val="22"/>
          <w:szCs w:val="22"/>
        </w:rPr>
        <w:t>– cleverly tying the</w:t>
      </w:r>
      <w:r w:rsidR="004A4D52" w:rsidRPr="00A3010E">
        <w:rPr>
          <w:sz w:val="22"/>
          <w:szCs w:val="22"/>
        </w:rPr>
        <w:t xml:space="preserve"> </w:t>
      </w:r>
      <w:r w:rsidR="000334A3" w:rsidRPr="00A3010E">
        <w:rPr>
          <w:sz w:val="22"/>
          <w:szCs w:val="22"/>
        </w:rPr>
        <w:t>research subject and research focus together</w:t>
      </w:r>
      <w:r w:rsidR="00957B4A" w:rsidRPr="00A3010E">
        <w:rPr>
          <w:sz w:val="22"/>
          <w:szCs w:val="22"/>
        </w:rPr>
        <w:t>.</w:t>
      </w:r>
    </w:p>
    <w:p w14:paraId="1ED75AF8" w14:textId="4A41CDFC" w:rsidR="00A92B97" w:rsidRPr="00A3010E" w:rsidRDefault="00A92B97" w:rsidP="00681FE2">
      <w:pPr>
        <w:pStyle w:val="ListParagraph"/>
        <w:numPr>
          <w:ilvl w:val="0"/>
          <w:numId w:val="2"/>
        </w:numPr>
        <w:rPr>
          <w:sz w:val="22"/>
          <w:szCs w:val="22"/>
        </w:rPr>
      </w:pPr>
      <w:r w:rsidRPr="00A3010E">
        <w:rPr>
          <w:sz w:val="22"/>
          <w:szCs w:val="22"/>
        </w:rPr>
        <w:t xml:space="preserve">The narrative poses a number of questions that engage the viewer and leaves them wanting to know more. You can easily imagine if David were present at an exhibition the audience </w:t>
      </w:r>
      <w:r w:rsidR="007A3BDE" w:rsidRPr="00A3010E">
        <w:rPr>
          <w:sz w:val="22"/>
          <w:szCs w:val="22"/>
        </w:rPr>
        <w:t>would be intrigued to know more about his findings so far.</w:t>
      </w:r>
    </w:p>
    <w:tbl>
      <w:tblPr>
        <w:tblStyle w:val="TableGrid"/>
        <w:tblpPr w:leftFromText="180" w:rightFromText="180" w:vertAnchor="text" w:horzAnchor="margin" w:tblpY="102"/>
        <w:tblW w:w="9776" w:type="dxa"/>
        <w:tblLook w:val="04A0" w:firstRow="1" w:lastRow="0" w:firstColumn="1" w:lastColumn="0" w:noHBand="0" w:noVBand="1"/>
      </w:tblPr>
      <w:tblGrid>
        <w:gridCol w:w="2976"/>
        <w:gridCol w:w="6800"/>
      </w:tblGrid>
      <w:tr w:rsidR="00546962" w14:paraId="34FFF4A7" w14:textId="77777777" w:rsidTr="00546962">
        <w:trPr>
          <w:trHeight w:val="478"/>
        </w:trPr>
        <w:tc>
          <w:tcPr>
            <w:tcW w:w="2976" w:type="dxa"/>
            <w:vMerge w:val="restart"/>
          </w:tcPr>
          <w:p w14:paraId="2CC99763" w14:textId="77777777" w:rsidR="00546962" w:rsidRDefault="00546962" w:rsidP="00546962">
            <w:r>
              <w:rPr>
                <w:noProof/>
              </w:rPr>
              <w:drawing>
                <wp:inline distT="0" distB="0" distL="0" distR="0" wp14:anchorId="14B1E55B" wp14:editId="07B88DC2">
                  <wp:extent cx="1749334" cy="1163116"/>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808537" cy="1202480"/>
                          </a:xfrm>
                          <a:prstGeom prst="rect">
                            <a:avLst/>
                          </a:prstGeom>
                          <a:noFill/>
                          <a:ln>
                            <a:noFill/>
                          </a:ln>
                        </pic:spPr>
                      </pic:pic>
                    </a:graphicData>
                  </a:graphic>
                </wp:inline>
              </w:drawing>
            </w:r>
          </w:p>
        </w:tc>
        <w:tc>
          <w:tcPr>
            <w:tcW w:w="6800" w:type="dxa"/>
          </w:tcPr>
          <w:p w14:paraId="4CC17706" w14:textId="77777777" w:rsidR="00546962" w:rsidRPr="00BF2B45" w:rsidRDefault="00546962" w:rsidP="00546962">
            <w:pPr>
              <w:spacing w:after="160" w:line="259" w:lineRule="auto"/>
              <w:rPr>
                <w:b/>
                <w:bCs/>
              </w:rPr>
            </w:pPr>
            <w:r w:rsidRPr="00FA1590">
              <w:rPr>
                <w:b/>
                <w:bCs/>
              </w:rPr>
              <w:t xml:space="preserve">David Pettifer </w:t>
            </w:r>
            <w:r>
              <w:rPr>
                <w:b/>
                <w:bCs/>
              </w:rPr>
              <w:t>–</w:t>
            </w:r>
            <w:r w:rsidRPr="00FA1590">
              <w:rPr>
                <w:b/>
                <w:bCs/>
              </w:rPr>
              <w:t xml:space="preserve"> College of Life and Environmental Sciences</w:t>
            </w:r>
          </w:p>
        </w:tc>
      </w:tr>
      <w:tr w:rsidR="00546962" w14:paraId="64116976" w14:textId="77777777" w:rsidTr="00546962">
        <w:trPr>
          <w:trHeight w:val="444"/>
        </w:trPr>
        <w:tc>
          <w:tcPr>
            <w:tcW w:w="2976" w:type="dxa"/>
            <w:vMerge/>
          </w:tcPr>
          <w:p w14:paraId="5A596B7B" w14:textId="77777777" w:rsidR="00546962" w:rsidRPr="0096752B" w:rsidRDefault="00546962" w:rsidP="00546962">
            <w:pPr>
              <w:rPr>
                <w:noProof/>
              </w:rPr>
            </w:pPr>
          </w:p>
        </w:tc>
        <w:tc>
          <w:tcPr>
            <w:tcW w:w="6800" w:type="dxa"/>
          </w:tcPr>
          <w:p w14:paraId="337D2C18" w14:textId="77777777" w:rsidR="00546962" w:rsidRPr="00510C08" w:rsidRDefault="00546962" w:rsidP="00546962">
            <w:pPr>
              <w:spacing w:after="160" w:line="259" w:lineRule="auto"/>
              <w:rPr>
                <w:sz w:val="22"/>
                <w:szCs w:val="22"/>
              </w:rPr>
            </w:pPr>
            <w:r w:rsidRPr="00510C08">
              <w:rPr>
                <w:sz w:val="22"/>
                <w:szCs w:val="22"/>
              </w:rPr>
              <w:t xml:space="preserve">The Grey Man of the Forest </w:t>
            </w:r>
          </w:p>
        </w:tc>
      </w:tr>
      <w:tr w:rsidR="00546962" w14:paraId="5C7BCE9B" w14:textId="77777777" w:rsidTr="00510C08">
        <w:trPr>
          <w:trHeight w:val="3015"/>
        </w:trPr>
        <w:tc>
          <w:tcPr>
            <w:tcW w:w="2976" w:type="dxa"/>
            <w:vMerge/>
          </w:tcPr>
          <w:p w14:paraId="0B07BE6B" w14:textId="77777777" w:rsidR="00546962" w:rsidRPr="0096752B" w:rsidRDefault="00546962" w:rsidP="00546962">
            <w:pPr>
              <w:rPr>
                <w:noProof/>
              </w:rPr>
            </w:pPr>
          </w:p>
        </w:tc>
        <w:tc>
          <w:tcPr>
            <w:tcW w:w="6800" w:type="dxa"/>
          </w:tcPr>
          <w:p w14:paraId="4320CD96" w14:textId="77777777" w:rsidR="00546962" w:rsidRPr="00510C08" w:rsidRDefault="00546962" w:rsidP="00546962">
            <w:pPr>
              <w:spacing w:after="160" w:line="259" w:lineRule="auto"/>
              <w:rPr>
                <w:sz w:val="22"/>
                <w:szCs w:val="22"/>
              </w:rPr>
            </w:pPr>
            <w:proofErr w:type="spellStart"/>
            <w:r w:rsidRPr="00510C08">
              <w:rPr>
                <w:sz w:val="22"/>
                <w:szCs w:val="22"/>
              </w:rPr>
              <w:t>Lanjo</w:t>
            </w:r>
            <w:proofErr w:type="spellEnd"/>
            <w:r w:rsidRPr="00510C08">
              <w:rPr>
                <w:sz w:val="22"/>
                <w:szCs w:val="22"/>
              </w:rPr>
              <w:t xml:space="preserve"> is a strong, healthy, grey haired eastern chimpanzee in the prime of his life. Despite his colouration, he is only 21 years old, and expected to live another 10 years on average. But what about those individuals who survive beyond this, reaching the upper limits of their lifespan? Does a chimpanzee at the age of 50 experience the same suite of old-age complaints as a human might? My research focusses on changes in mobility and joint health as chimpanzees age in the wild and captivity. I aim to understand how environment and activity may affect the health of these individuals, particularly as they move forward into their twilight years.</w:t>
            </w:r>
          </w:p>
        </w:tc>
      </w:tr>
    </w:tbl>
    <w:p w14:paraId="7BF0A120" w14:textId="77777777" w:rsidR="00957B4A" w:rsidRDefault="00957B4A" w:rsidP="00957B4A"/>
    <w:tbl>
      <w:tblPr>
        <w:tblStyle w:val="TableGrid"/>
        <w:tblpPr w:leftFromText="180" w:rightFromText="180" w:vertAnchor="text" w:horzAnchor="margin" w:tblpY="1499"/>
        <w:tblW w:w="9634" w:type="dxa"/>
        <w:tblLook w:val="04A0" w:firstRow="1" w:lastRow="0" w:firstColumn="1" w:lastColumn="0" w:noHBand="0" w:noVBand="1"/>
      </w:tblPr>
      <w:tblGrid>
        <w:gridCol w:w="2972"/>
        <w:gridCol w:w="6662"/>
      </w:tblGrid>
      <w:tr w:rsidR="00BD1AD3" w14:paraId="2475FA5F" w14:textId="77777777" w:rsidTr="005949E6">
        <w:trPr>
          <w:trHeight w:val="478"/>
        </w:trPr>
        <w:tc>
          <w:tcPr>
            <w:tcW w:w="2972" w:type="dxa"/>
            <w:vMerge w:val="restart"/>
          </w:tcPr>
          <w:p w14:paraId="142DC014" w14:textId="77777777" w:rsidR="00BD1AD3" w:rsidRDefault="00BD1AD3" w:rsidP="005949E6">
            <w:r>
              <w:rPr>
                <w:noProof/>
              </w:rPr>
              <w:drawing>
                <wp:inline distT="0" distB="0" distL="0" distR="0" wp14:anchorId="608BE637" wp14:editId="40D736AC">
                  <wp:extent cx="1338580" cy="23698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8580" cy="2369820"/>
                          </a:xfrm>
                          <a:prstGeom prst="rect">
                            <a:avLst/>
                          </a:prstGeom>
                          <a:noFill/>
                          <a:ln>
                            <a:noFill/>
                          </a:ln>
                        </pic:spPr>
                      </pic:pic>
                    </a:graphicData>
                  </a:graphic>
                </wp:inline>
              </w:drawing>
            </w:r>
          </w:p>
        </w:tc>
        <w:tc>
          <w:tcPr>
            <w:tcW w:w="6662" w:type="dxa"/>
          </w:tcPr>
          <w:p w14:paraId="3A2E7CC9" w14:textId="463B187D" w:rsidR="00BD1AD3" w:rsidRPr="00E671F2" w:rsidRDefault="00BD1AD3" w:rsidP="005949E6">
            <w:pPr>
              <w:spacing w:after="160" w:line="259" w:lineRule="auto"/>
              <w:rPr>
                <w:b/>
                <w:bCs/>
              </w:rPr>
            </w:pPr>
            <w:r w:rsidRPr="006D64AB">
              <w:rPr>
                <w:b/>
                <w:bCs/>
              </w:rPr>
              <w:t xml:space="preserve">Jeannette Rodgers </w:t>
            </w:r>
            <w:r w:rsidR="00FB3664">
              <w:rPr>
                <w:b/>
                <w:bCs/>
              </w:rPr>
              <w:t>–</w:t>
            </w:r>
            <w:r w:rsidRPr="006D64AB">
              <w:rPr>
                <w:b/>
                <w:bCs/>
              </w:rPr>
              <w:t xml:space="preserve"> College of Social Sciences</w:t>
            </w:r>
          </w:p>
        </w:tc>
      </w:tr>
      <w:tr w:rsidR="00BD1AD3" w14:paraId="43DF5783" w14:textId="77777777" w:rsidTr="005949E6">
        <w:trPr>
          <w:trHeight w:val="444"/>
        </w:trPr>
        <w:tc>
          <w:tcPr>
            <w:tcW w:w="2972" w:type="dxa"/>
            <w:vMerge/>
          </w:tcPr>
          <w:p w14:paraId="5D12CFB3" w14:textId="77777777" w:rsidR="00BD1AD3" w:rsidRPr="0096752B" w:rsidRDefault="00BD1AD3" w:rsidP="005949E6">
            <w:pPr>
              <w:rPr>
                <w:noProof/>
              </w:rPr>
            </w:pPr>
          </w:p>
        </w:tc>
        <w:tc>
          <w:tcPr>
            <w:tcW w:w="6662" w:type="dxa"/>
          </w:tcPr>
          <w:p w14:paraId="35B6E0EB" w14:textId="77777777" w:rsidR="00BD1AD3" w:rsidRPr="00510C08" w:rsidRDefault="00BD1AD3" w:rsidP="005949E6">
            <w:pPr>
              <w:rPr>
                <w:sz w:val="22"/>
                <w:szCs w:val="22"/>
              </w:rPr>
            </w:pPr>
            <w:r w:rsidRPr="00510C08">
              <w:rPr>
                <w:sz w:val="22"/>
                <w:szCs w:val="22"/>
              </w:rPr>
              <w:t>Out of the Shadows: the case for the participation of children in transitional justice.</w:t>
            </w:r>
          </w:p>
        </w:tc>
      </w:tr>
      <w:tr w:rsidR="00BD1AD3" w14:paraId="263F2C1C" w14:textId="77777777" w:rsidTr="005949E6">
        <w:trPr>
          <w:trHeight w:val="2922"/>
        </w:trPr>
        <w:tc>
          <w:tcPr>
            <w:tcW w:w="2972" w:type="dxa"/>
            <w:vMerge/>
          </w:tcPr>
          <w:p w14:paraId="6A2D02A5" w14:textId="77777777" w:rsidR="00BD1AD3" w:rsidRPr="0096752B" w:rsidRDefault="00BD1AD3" w:rsidP="005949E6">
            <w:pPr>
              <w:rPr>
                <w:noProof/>
              </w:rPr>
            </w:pPr>
          </w:p>
        </w:tc>
        <w:tc>
          <w:tcPr>
            <w:tcW w:w="6662" w:type="dxa"/>
          </w:tcPr>
          <w:p w14:paraId="5BCB6DC6" w14:textId="4A41ED1F" w:rsidR="00BD1AD3" w:rsidRPr="00510C08" w:rsidRDefault="00BD1AD3" w:rsidP="005949E6">
            <w:pPr>
              <w:rPr>
                <w:b/>
                <w:bCs/>
                <w:sz w:val="22"/>
                <w:szCs w:val="22"/>
              </w:rPr>
            </w:pPr>
            <w:r w:rsidRPr="00510C08">
              <w:rPr>
                <w:sz w:val="22"/>
                <w:szCs w:val="22"/>
              </w:rPr>
              <w:t xml:space="preserve">This image shows a young man at the Kigali Genocide Memorial in Rwanda, looking intently at exhibited photographs of the many victims of the genocide in 1994. I took this photograph whilst visiting Rwanda in April 2019 </w:t>
            </w:r>
            <w:r w:rsidR="00FB3664" w:rsidRPr="00510C08">
              <w:rPr>
                <w:sz w:val="22"/>
                <w:szCs w:val="22"/>
              </w:rPr>
              <w:t>–</w:t>
            </w:r>
            <w:r w:rsidRPr="00510C08">
              <w:rPr>
                <w:sz w:val="22"/>
                <w:szCs w:val="22"/>
              </w:rPr>
              <w:t xml:space="preserve"> a year marking 25 years since the genocide. Children under 18 in Rwanda are known as </w:t>
            </w:r>
            <w:r w:rsidR="00FB3664" w:rsidRPr="00510C08">
              <w:rPr>
                <w:sz w:val="22"/>
                <w:szCs w:val="22"/>
              </w:rPr>
              <w:t>‘</w:t>
            </w:r>
            <w:r w:rsidRPr="00510C08">
              <w:rPr>
                <w:sz w:val="22"/>
                <w:szCs w:val="22"/>
              </w:rPr>
              <w:t>Generation 25,</w:t>
            </w:r>
            <w:r w:rsidR="00FB3664" w:rsidRPr="00510C08">
              <w:rPr>
                <w:sz w:val="22"/>
                <w:szCs w:val="22"/>
              </w:rPr>
              <w:t>’</w:t>
            </w:r>
            <w:r w:rsidRPr="00510C08">
              <w:rPr>
                <w:sz w:val="22"/>
                <w:szCs w:val="22"/>
              </w:rPr>
              <w:t xml:space="preserve"> and my research makes the case for how, and why, the participation of these children should be integral to the purpose of international, national and local justice. The project seeks to understand their perspectives on what the meaningful participation of children should look like, to inform a new framework of participation in law and development.</w:t>
            </w:r>
          </w:p>
        </w:tc>
      </w:tr>
    </w:tbl>
    <w:p w14:paraId="0ECA4E78" w14:textId="77777777" w:rsidR="005949E6" w:rsidRPr="00A57BE9" w:rsidRDefault="00FB3664" w:rsidP="003C0E89">
      <w:pPr>
        <w:pStyle w:val="ListParagraph"/>
        <w:numPr>
          <w:ilvl w:val="0"/>
          <w:numId w:val="3"/>
        </w:numPr>
        <w:rPr>
          <w:sz w:val="22"/>
          <w:szCs w:val="22"/>
        </w:rPr>
      </w:pPr>
      <w:r w:rsidRPr="00A57BE9">
        <w:rPr>
          <w:sz w:val="22"/>
          <w:szCs w:val="22"/>
        </w:rPr>
        <w:t>Jeannette submitted a striking black and white image, with effective use of light and</w:t>
      </w:r>
      <w:r w:rsidR="00546962" w:rsidRPr="00A57BE9">
        <w:rPr>
          <w:sz w:val="22"/>
          <w:szCs w:val="22"/>
        </w:rPr>
        <w:t xml:space="preserve"> </w:t>
      </w:r>
      <w:r w:rsidR="00546962" w:rsidRPr="00A57BE9">
        <w:rPr>
          <w:sz w:val="22"/>
          <w:szCs w:val="22"/>
        </w:rPr>
        <w:t>shadow</w:t>
      </w:r>
      <w:r w:rsidR="00546962" w:rsidRPr="00A57BE9">
        <w:rPr>
          <w:sz w:val="22"/>
          <w:szCs w:val="22"/>
        </w:rPr>
        <w:t xml:space="preserve">. </w:t>
      </w:r>
    </w:p>
    <w:p w14:paraId="5588ECBE" w14:textId="353D614B" w:rsidR="00AA0500" w:rsidRPr="00A57BE9" w:rsidRDefault="002F30AE" w:rsidP="003C0E89">
      <w:pPr>
        <w:pStyle w:val="ListParagraph"/>
        <w:numPr>
          <w:ilvl w:val="0"/>
          <w:numId w:val="3"/>
        </w:numPr>
        <w:rPr>
          <w:sz w:val="22"/>
          <w:szCs w:val="22"/>
        </w:rPr>
      </w:pPr>
      <w:r w:rsidRPr="00A57BE9">
        <w:rPr>
          <w:sz w:val="22"/>
          <w:szCs w:val="22"/>
        </w:rPr>
        <w:t>This is particularly effective as the title use</w:t>
      </w:r>
      <w:r w:rsidR="00D850C9" w:rsidRPr="00A57BE9">
        <w:rPr>
          <w:sz w:val="22"/>
          <w:szCs w:val="22"/>
        </w:rPr>
        <w:t>s</w:t>
      </w:r>
      <w:r w:rsidRPr="00A57BE9">
        <w:rPr>
          <w:sz w:val="22"/>
          <w:szCs w:val="22"/>
        </w:rPr>
        <w:t xml:space="preserve"> the language of </w:t>
      </w:r>
      <w:r w:rsidR="00436650" w:rsidRPr="00A57BE9">
        <w:rPr>
          <w:sz w:val="22"/>
          <w:szCs w:val="22"/>
        </w:rPr>
        <w:t>shadows</w:t>
      </w:r>
      <w:r w:rsidR="00D850C9" w:rsidRPr="00A57BE9">
        <w:rPr>
          <w:sz w:val="22"/>
          <w:szCs w:val="22"/>
        </w:rPr>
        <w:t xml:space="preserve"> and the image narrative explains the research problem</w:t>
      </w:r>
      <w:r w:rsidR="00436650" w:rsidRPr="00A57BE9">
        <w:rPr>
          <w:sz w:val="22"/>
          <w:szCs w:val="22"/>
        </w:rPr>
        <w:t xml:space="preserve"> </w:t>
      </w:r>
      <w:r w:rsidR="00D3052F" w:rsidRPr="00A57BE9">
        <w:rPr>
          <w:sz w:val="22"/>
          <w:szCs w:val="22"/>
        </w:rPr>
        <w:t>as increasing participation – children being seen.</w:t>
      </w:r>
    </w:p>
    <w:p w14:paraId="2E8DCA59" w14:textId="109890D4" w:rsidR="005949E6" w:rsidRDefault="005949E6" w:rsidP="00546962"/>
    <w:p w14:paraId="47F8CCFD" w14:textId="2EDCD3B0" w:rsidR="005949E6" w:rsidRDefault="005949E6" w:rsidP="00546962"/>
    <w:p w14:paraId="68B1CF3E" w14:textId="0868623B" w:rsidR="005949E6" w:rsidRDefault="005949E6" w:rsidP="00546962"/>
    <w:p w14:paraId="278D29B5" w14:textId="6D85C809" w:rsidR="005949E6" w:rsidRDefault="005949E6" w:rsidP="00546962"/>
    <w:p w14:paraId="405805D1" w14:textId="0BE40935" w:rsidR="005949E6" w:rsidRDefault="005949E6" w:rsidP="00546962"/>
    <w:p w14:paraId="4641E768" w14:textId="4638B3BF" w:rsidR="005949E6" w:rsidRDefault="005949E6" w:rsidP="00546962"/>
    <w:p w14:paraId="0854779D" w14:textId="2B7D719E" w:rsidR="00A57BE9" w:rsidRDefault="00A57BE9" w:rsidP="00546962"/>
    <w:p w14:paraId="067C7AFE" w14:textId="77777777" w:rsidR="00A57BE9" w:rsidRDefault="00A57BE9" w:rsidP="00546962"/>
    <w:p w14:paraId="71F51764" w14:textId="4545D4E8" w:rsidR="00B74D3F" w:rsidRPr="00A57BE9" w:rsidRDefault="005949E6" w:rsidP="00F65938">
      <w:pPr>
        <w:pStyle w:val="ListParagraph"/>
        <w:numPr>
          <w:ilvl w:val="0"/>
          <w:numId w:val="3"/>
        </w:numPr>
        <w:rPr>
          <w:sz w:val="22"/>
          <w:szCs w:val="22"/>
        </w:rPr>
      </w:pPr>
      <w:proofErr w:type="spellStart"/>
      <w:r w:rsidRPr="00A57BE9">
        <w:rPr>
          <w:sz w:val="22"/>
          <w:szCs w:val="22"/>
        </w:rPr>
        <w:t>Zakareya</w:t>
      </w:r>
      <w:proofErr w:type="spellEnd"/>
      <w:r w:rsidRPr="00A57BE9">
        <w:rPr>
          <w:sz w:val="22"/>
          <w:szCs w:val="22"/>
        </w:rPr>
        <w:t xml:space="preserve"> </w:t>
      </w:r>
      <w:r w:rsidR="00560AF6" w:rsidRPr="00A57BE9">
        <w:rPr>
          <w:sz w:val="22"/>
          <w:szCs w:val="22"/>
        </w:rPr>
        <w:t xml:space="preserve">entered a compelling image </w:t>
      </w:r>
      <w:r w:rsidR="00353AA6" w:rsidRPr="00A57BE9">
        <w:rPr>
          <w:sz w:val="22"/>
          <w:szCs w:val="22"/>
        </w:rPr>
        <w:t>which was a</w:t>
      </w:r>
      <w:r w:rsidR="00560AF6" w:rsidRPr="00A57BE9">
        <w:rPr>
          <w:sz w:val="22"/>
          <w:szCs w:val="22"/>
        </w:rPr>
        <w:t xml:space="preserve"> ‘</w:t>
      </w:r>
      <w:r w:rsidR="00560AF6" w:rsidRPr="00A57BE9">
        <w:rPr>
          <w:sz w:val="22"/>
          <w:szCs w:val="22"/>
        </w:rPr>
        <w:t>scanning electron microscope image with a layered energy dispersive x-ray elements map</w:t>
      </w:r>
      <w:r w:rsidR="00353AA6" w:rsidRPr="00A57BE9">
        <w:rPr>
          <w:sz w:val="22"/>
          <w:szCs w:val="22"/>
        </w:rPr>
        <w:t>’</w:t>
      </w:r>
    </w:p>
    <w:tbl>
      <w:tblPr>
        <w:tblStyle w:val="TableGrid"/>
        <w:tblW w:w="9634" w:type="dxa"/>
        <w:tblLook w:val="04A0" w:firstRow="1" w:lastRow="0" w:firstColumn="1" w:lastColumn="0" w:noHBand="0" w:noVBand="1"/>
      </w:tblPr>
      <w:tblGrid>
        <w:gridCol w:w="3066"/>
        <w:gridCol w:w="6568"/>
      </w:tblGrid>
      <w:tr w:rsidR="001D6791" w14:paraId="256D3D82" w14:textId="77777777" w:rsidTr="00CD326F">
        <w:trPr>
          <w:trHeight w:val="478"/>
        </w:trPr>
        <w:tc>
          <w:tcPr>
            <w:tcW w:w="2972" w:type="dxa"/>
            <w:vMerge w:val="restart"/>
          </w:tcPr>
          <w:p w14:paraId="0EE3B2B2" w14:textId="77777777" w:rsidR="001D6791" w:rsidRDefault="001D6791" w:rsidP="00CD326F">
            <w:r>
              <w:rPr>
                <w:noProof/>
              </w:rPr>
              <w:drawing>
                <wp:inline distT="0" distB="0" distL="0" distR="0" wp14:anchorId="145C8EFB" wp14:editId="3DE5DD4B">
                  <wp:extent cx="1806854" cy="1580697"/>
                  <wp:effectExtent l="0" t="0" r="317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0202" cy="1609871"/>
                          </a:xfrm>
                          <a:prstGeom prst="rect">
                            <a:avLst/>
                          </a:prstGeom>
                          <a:noFill/>
                          <a:ln>
                            <a:noFill/>
                          </a:ln>
                        </pic:spPr>
                      </pic:pic>
                    </a:graphicData>
                  </a:graphic>
                </wp:inline>
              </w:drawing>
            </w:r>
          </w:p>
        </w:tc>
        <w:tc>
          <w:tcPr>
            <w:tcW w:w="6662" w:type="dxa"/>
          </w:tcPr>
          <w:p w14:paraId="504B14DB" w14:textId="77777777" w:rsidR="001D6791" w:rsidRPr="00245122" w:rsidRDefault="001D6791" w:rsidP="00CD326F">
            <w:pPr>
              <w:spacing w:after="160" w:line="259" w:lineRule="auto"/>
              <w:rPr>
                <w:b/>
                <w:bCs/>
              </w:rPr>
            </w:pPr>
            <w:proofErr w:type="spellStart"/>
            <w:r w:rsidRPr="00245122">
              <w:rPr>
                <w:b/>
                <w:bCs/>
              </w:rPr>
              <w:t>Zakareya</w:t>
            </w:r>
            <w:proofErr w:type="spellEnd"/>
            <w:r w:rsidRPr="00245122">
              <w:rPr>
                <w:b/>
                <w:bCs/>
              </w:rPr>
              <w:t xml:space="preserve"> </w:t>
            </w:r>
            <w:proofErr w:type="spellStart"/>
            <w:r w:rsidRPr="00245122">
              <w:rPr>
                <w:b/>
                <w:bCs/>
              </w:rPr>
              <w:t>Nashwan</w:t>
            </w:r>
            <w:proofErr w:type="spellEnd"/>
            <w:r w:rsidRPr="00245122">
              <w:rPr>
                <w:b/>
                <w:bCs/>
              </w:rPr>
              <w:t xml:space="preserve"> - College of Engineering and Physical Sciences</w:t>
            </w:r>
          </w:p>
          <w:p w14:paraId="6B6BE641" w14:textId="77777777" w:rsidR="001D6791" w:rsidRPr="0096752B" w:rsidRDefault="001D6791" w:rsidP="00CD326F">
            <w:pPr>
              <w:rPr>
                <w:noProof/>
              </w:rPr>
            </w:pPr>
          </w:p>
        </w:tc>
      </w:tr>
      <w:tr w:rsidR="001D6791" w14:paraId="47DE281A" w14:textId="77777777" w:rsidTr="00CD326F">
        <w:trPr>
          <w:trHeight w:val="444"/>
        </w:trPr>
        <w:tc>
          <w:tcPr>
            <w:tcW w:w="2972" w:type="dxa"/>
            <w:vMerge/>
          </w:tcPr>
          <w:p w14:paraId="6ADD5B4C" w14:textId="77777777" w:rsidR="001D6791" w:rsidRPr="0096752B" w:rsidRDefault="001D6791" w:rsidP="00CD326F">
            <w:pPr>
              <w:rPr>
                <w:noProof/>
              </w:rPr>
            </w:pPr>
          </w:p>
        </w:tc>
        <w:tc>
          <w:tcPr>
            <w:tcW w:w="6662" w:type="dxa"/>
          </w:tcPr>
          <w:p w14:paraId="49045FDB" w14:textId="77777777" w:rsidR="001D6791" w:rsidRPr="0096752B" w:rsidRDefault="001D6791" w:rsidP="00CD326F">
            <w:r>
              <w:t xml:space="preserve">Ductile Cast Iron Rainbow Defect </w:t>
            </w:r>
          </w:p>
        </w:tc>
      </w:tr>
      <w:tr w:rsidR="001D6791" w14:paraId="42CB828F" w14:textId="77777777" w:rsidTr="00CD326F">
        <w:trPr>
          <w:trHeight w:val="756"/>
        </w:trPr>
        <w:tc>
          <w:tcPr>
            <w:tcW w:w="2972" w:type="dxa"/>
            <w:vMerge/>
          </w:tcPr>
          <w:p w14:paraId="30B55B97" w14:textId="77777777" w:rsidR="001D6791" w:rsidRPr="0096752B" w:rsidRDefault="001D6791" w:rsidP="00CD326F">
            <w:pPr>
              <w:rPr>
                <w:noProof/>
              </w:rPr>
            </w:pPr>
          </w:p>
        </w:tc>
        <w:tc>
          <w:tcPr>
            <w:tcW w:w="6662" w:type="dxa"/>
          </w:tcPr>
          <w:p w14:paraId="38878A25" w14:textId="77777777" w:rsidR="001D6791" w:rsidRPr="006B7016" w:rsidRDefault="001D6791" w:rsidP="00CD326F">
            <w:pPr>
              <w:rPr>
                <w:b/>
                <w:bCs/>
              </w:rPr>
            </w:pPr>
            <w:r>
              <w:t xml:space="preserve">Ductile cast irons are used in several critical components across many applications like automotive, railway, energy generation and aerospace. Failure during service of these components could be catastrophic. Double oxide biofilms are defects found hidden inside casted metal components that reduces mechanical properties significantly leading to premature failure. A scanning electron microscope image with a layered energy dispersive x-ray elements map is revealing the first observed double oxide </w:t>
            </w:r>
            <w:proofErr w:type="spellStart"/>
            <w:r>
              <w:t>bifilm</w:t>
            </w:r>
            <w:proofErr w:type="spellEnd"/>
            <w:r>
              <w:t xml:space="preserve"> on a fracture surface of ductile cast iron test bar. The image shows the complexity of the defect as each colour of the spectrum represents an element.</w:t>
            </w:r>
          </w:p>
        </w:tc>
      </w:tr>
    </w:tbl>
    <w:p w14:paraId="6D426FA7" w14:textId="77777777" w:rsidR="00AA0500" w:rsidRDefault="00AA0500" w:rsidP="00AA0500"/>
    <w:p w14:paraId="05CC7E22" w14:textId="77777777" w:rsidR="00AA0500" w:rsidRDefault="00AA0500" w:rsidP="00AA0500"/>
    <w:p w14:paraId="604DD0D7" w14:textId="2500CD94" w:rsidR="00162034" w:rsidRDefault="00441EAA" w:rsidP="00A3010E">
      <w:pPr>
        <w:pStyle w:val="Heading2"/>
      </w:pPr>
      <w:r>
        <w:t>Images that are r</w:t>
      </w:r>
      <w:r w:rsidR="00162034">
        <w:t xml:space="preserve">epresentations of research </w:t>
      </w:r>
    </w:p>
    <w:p w14:paraId="2B182C37" w14:textId="602635ED" w:rsidR="00615ACC" w:rsidRDefault="00615ACC" w:rsidP="00615ACC"/>
    <w:p w14:paraId="0522B5A8" w14:textId="77777777" w:rsidR="00353AA6" w:rsidRPr="00A57BE9" w:rsidRDefault="009D6478" w:rsidP="00353AA6">
      <w:pPr>
        <w:pStyle w:val="ListParagraph"/>
        <w:numPr>
          <w:ilvl w:val="0"/>
          <w:numId w:val="4"/>
        </w:numPr>
        <w:rPr>
          <w:sz w:val="22"/>
          <w:szCs w:val="22"/>
        </w:rPr>
      </w:pPr>
      <w:r w:rsidRPr="00A57BE9">
        <w:rPr>
          <w:sz w:val="22"/>
          <w:szCs w:val="22"/>
        </w:rPr>
        <w:t xml:space="preserve">Ahmed’s </w:t>
      </w:r>
      <w:r w:rsidR="003E31AD" w:rsidRPr="00A57BE9">
        <w:rPr>
          <w:sz w:val="22"/>
          <w:szCs w:val="22"/>
        </w:rPr>
        <w:t>image is compelling as it is unexpected</w:t>
      </w:r>
      <w:r w:rsidR="000C4F8A" w:rsidRPr="00A57BE9">
        <w:rPr>
          <w:sz w:val="22"/>
          <w:szCs w:val="22"/>
        </w:rPr>
        <w:t>, well balanced and has repeat</w:t>
      </w:r>
      <w:r w:rsidR="004D4769" w:rsidRPr="00A57BE9">
        <w:rPr>
          <w:sz w:val="22"/>
          <w:szCs w:val="22"/>
        </w:rPr>
        <w:t>ed</w:t>
      </w:r>
      <w:r w:rsidR="000C4F8A" w:rsidRPr="00A57BE9">
        <w:rPr>
          <w:sz w:val="22"/>
          <w:szCs w:val="22"/>
        </w:rPr>
        <w:t xml:space="preserve"> colours from a select </w:t>
      </w:r>
      <w:r w:rsidRPr="00A57BE9">
        <w:rPr>
          <w:sz w:val="22"/>
          <w:szCs w:val="22"/>
        </w:rPr>
        <w:t>palette</w:t>
      </w:r>
      <w:r w:rsidR="000C4F8A" w:rsidRPr="00A57BE9">
        <w:rPr>
          <w:sz w:val="22"/>
          <w:szCs w:val="22"/>
        </w:rPr>
        <w:t xml:space="preserve">. </w:t>
      </w:r>
    </w:p>
    <w:p w14:paraId="34EFAD79" w14:textId="3C7B792E" w:rsidR="00615ACC" w:rsidRPr="00A57BE9" w:rsidRDefault="009D6478" w:rsidP="00353AA6">
      <w:pPr>
        <w:pStyle w:val="ListParagraph"/>
        <w:numPr>
          <w:ilvl w:val="0"/>
          <w:numId w:val="4"/>
        </w:numPr>
        <w:rPr>
          <w:sz w:val="22"/>
          <w:szCs w:val="22"/>
        </w:rPr>
      </w:pPr>
      <w:r w:rsidRPr="00A57BE9">
        <w:rPr>
          <w:sz w:val="22"/>
          <w:szCs w:val="22"/>
        </w:rPr>
        <w:t>Ahmed does a great job</w:t>
      </w:r>
      <w:r w:rsidRPr="00A57BE9">
        <w:rPr>
          <w:sz w:val="22"/>
          <w:szCs w:val="22"/>
        </w:rPr>
        <w:t xml:space="preserve"> of</w:t>
      </w:r>
      <w:r w:rsidRPr="00A57BE9">
        <w:rPr>
          <w:sz w:val="22"/>
          <w:szCs w:val="22"/>
        </w:rPr>
        <w:t xml:space="preserve"> weaving the image, title and narrative together through his choice of language</w:t>
      </w:r>
      <w:r w:rsidR="00162034" w:rsidRPr="00A57BE9">
        <w:rPr>
          <w:sz w:val="22"/>
          <w:szCs w:val="22"/>
        </w:rPr>
        <w:t xml:space="preserve"> – shown in bold.</w:t>
      </w:r>
      <w:r w:rsidR="00353AA6" w:rsidRPr="00A57BE9">
        <w:rPr>
          <w:sz w:val="22"/>
          <w:szCs w:val="22"/>
        </w:rPr>
        <w:t xml:space="preserve"> </w:t>
      </w:r>
    </w:p>
    <w:p w14:paraId="67E4A6A9" w14:textId="78C70C50" w:rsidR="000C1791" w:rsidRPr="00A57BE9" w:rsidRDefault="000C1791" w:rsidP="00353AA6">
      <w:pPr>
        <w:pStyle w:val="ListParagraph"/>
        <w:numPr>
          <w:ilvl w:val="0"/>
          <w:numId w:val="4"/>
        </w:numPr>
        <w:rPr>
          <w:sz w:val="22"/>
          <w:szCs w:val="22"/>
        </w:rPr>
      </w:pPr>
      <w:r w:rsidRPr="00A57BE9">
        <w:rPr>
          <w:sz w:val="22"/>
          <w:szCs w:val="22"/>
        </w:rPr>
        <w:t xml:space="preserve">This is a creative example of how you can engage an audience with your </w:t>
      </w:r>
      <w:r w:rsidR="006A13F3" w:rsidRPr="00A57BE9">
        <w:rPr>
          <w:sz w:val="22"/>
          <w:szCs w:val="22"/>
        </w:rPr>
        <w:t>research without</w:t>
      </w:r>
      <w:r w:rsidR="00B74D3F" w:rsidRPr="00A57BE9">
        <w:rPr>
          <w:sz w:val="22"/>
          <w:szCs w:val="22"/>
        </w:rPr>
        <w:t xml:space="preserve"> </w:t>
      </w:r>
      <w:r w:rsidR="006A13F3" w:rsidRPr="00A57BE9">
        <w:rPr>
          <w:sz w:val="22"/>
          <w:szCs w:val="22"/>
        </w:rPr>
        <w:t>using a literal image of data, findings or research subject.</w:t>
      </w:r>
    </w:p>
    <w:tbl>
      <w:tblPr>
        <w:tblStyle w:val="TableGrid"/>
        <w:tblW w:w="9776" w:type="dxa"/>
        <w:tblLook w:val="04A0" w:firstRow="1" w:lastRow="0" w:firstColumn="1" w:lastColumn="0" w:noHBand="0" w:noVBand="1"/>
      </w:tblPr>
      <w:tblGrid>
        <w:gridCol w:w="2972"/>
        <w:gridCol w:w="6804"/>
      </w:tblGrid>
      <w:tr w:rsidR="0054186A" w14:paraId="6226D015" w14:textId="39C696B2" w:rsidTr="00DF05B7">
        <w:trPr>
          <w:trHeight w:val="478"/>
        </w:trPr>
        <w:tc>
          <w:tcPr>
            <w:tcW w:w="2972" w:type="dxa"/>
            <w:vMerge w:val="restart"/>
          </w:tcPr>
          <w:p w14:paraId="0DB7E05C" w14:textId="77777777" w:rsidR="0054186A" w:rsidRDefault="0054186A" w:rsidP="00FA0CAC">
            <w:r w:rsidRPr="0096752B">
              <w:rPr>
                <w:noProof/>
              </w:rPr>
              <w:drawing>
                <wp:inline distT="0" distB="0" distL="0" distR="0" wp14:anchorId="0609AB58" wp14:editId="124A2CE1">
                  <wp:extent cx="1236269" cy="1840063"/>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3054" cy="1909698"/>
                          </a:xfrm>
                          <a:prstGeom prst="rect">
                            <a:avLst/>
                          </a:prstGeom>
                          <a:noFill/>
                          <a:ln>
                            <a:noFill/>
                          </a:ln>
                        </pic:spPr>
                      </pic:pic>
                    </a:graphicData>
                  </a:graphic>
                </wp:inline>
              </w:drawing>
            </w:r>
          </w:p>
        </w:tc>
        <w:tc>
          <w:tcPr>
            <w:tcW w:w="6804" w:type="dxa"/>
          </w:tcPr>
          <w:p w14:paraId="11F07AF7" w14:textId="77777777" w:rsidR="0054186A" w:rsidRPr="00245122" w:rsidRDefault="0054186A" w:rsidP="0054186A">
            <w:pPr>
              <w:rPr>
                <w:b/>
                <w:bCs/>
              </w:rPr>
            </w:pPr>
            <w:r w:rsidRPr="00245122">
              <w:rPr>
                <w:b/>
                <w:bCs/>
              </w:rPr>
              <w:t>Ahmed Saad - College of Arts and Law</w:t>
            </w:r>
          </w:p>
          <w:p w14:paraId="128FFB11" w14:textId="77777777" w:rsidR="0054186A" w:rsidRPr="0096752B" w:rsidRDefault="0054186A" w:rsidP="00FA0CAC">
            <w:pPr>
              <w:rPr>
                <w:noProof/>
              </w:rPr>
            </w:pPr>
          </w:p>
        </w:tc>
      </w:tr>
      <w:tr w:rsidR="0054186A" w14:paraId="6CACE475" w14:textId="77777777" w:rsidTr="00DF05B7">
        <w:trPr>
          <w:trHeight w:val="444"/>
        </w:trPr>
        <w:tc>
          <w:tcPr>
            <w:tcW w:w="2972" w:type="dxa"/>
            <w:vMerge/>
          </w:tcPr>
          <w:p w14:paraId="74E82BD5" w14:textId="77777777" w:rsidR="0054186A" w:rsidRPr="0096752B" w:rsidRDefault="0054186A" w:rsidP="00FA0CAC">
            <w:pPr>
              <w:rPr>
                <w:noProof/>
              </w:rPr>
            </w:pPr>
          </w:p>
        </w:tc>
        <w:tc>
          <w:tcPr>
            <w:tcW w:w="6804" w:type="dxa"/>
          </w:tcPr>
          <w:p w14:paraId="09E68C9C" w14:textId="76BB3BF2" w:rsidR="0054186A" w:rsidRPr="006A13F3" w:rsidRDefault="0054186A" w:rsidP="00FA0CAC">
            <w:pPr>
              <w:rPr>
                <w:sz w:val="22"/>
                <w:szCs w:val="22"/>
              </w:rPr>
            </w:pPr>
            <w:r w:rsidRPr="006A13F3">
              <w:rPr>
                <w:sz w:val="22"/>
                <w:szCs w:val="22"/>
              </w:rPr>
              <w:t xml:space="preserve">Modernity: Is it all a load of </w:t>
            </w:r>
            <w:r w:rsidRPr="006A13F3">
              <w:rPr>
                <w:b/>
                <w:bCs/>
                <w:sz w:val="22"/>
                <w:szCs w:val="22"/>
              </w:rPr>
              <w:t>rubbish</w:t>
            </w:r>
            <w:r w:rsidRPr="006A13F3">
              <w:rPr>
                <w:sz w:val="22"/>
                <w:szCs w:val="22"/>
              </w:rPr>
              <w:t xml:space="preserve">? </w:t>
            </w:r>
          </w:p>
        </w:tc>
      </w:tr>
      <w:tr w:rsidR="0054186A" w14:paraId="46027C74" w14:textId="77777777" w:rsidTr="00DF05B7">
        <w:trPr>
          <w:trHeight w:val="756"/>
        </w:trPr>
        <w:tc>
          <w:tcPr>
            <w:tcW w:w="2972" w:type="dxa"/>
            <w:vMerge/>
          </w:tcPr>
          <w:p w14:paraId="3FC547A7" w14:textId="77777777" w:rsidR="0054186A" w:rsidRPr="0096752B" w:rsidRDefault="0054186A" w:rsidP="00FA0CAC">
            <w:pPr>
              <w:rPr>
                <w:noProof/>
              </w:rPr>
            </w:pPr>
          </w:p>
        </w:tc>
        <w:tc>
          <w:tcPr>
            <w:tcW w:w="6804" w:type="dxa"/>
          </w:tcPr>
          <w:p w14:paraId="0E5AA1EB" w14:textId="3D6F6D27" w:rsidR="0054186A" w:rsidRPr="006A13F3" w:rsidRDefault="0054186A" w:rsidP="004747BF">
            <w:pPr>
              <w:rPr>
                <w:noProof/>
                <w:sz w:val="22"/>
                <w:szCs w:val="22"/>
              </w:rPr>
            </w:pPr>
            <w:r w:rsidRPr="006A13F3">
              <w:rPr>
                <w:sz w:val="22"/>
                <w:szCs w:val="22"/>
              </w:rPr>
              <w:t xml:space="preserve">This photo is of a </w:t>
            </w:r>
            <w:r w:rsidRPr="006A13F3">
              <w:rPr>
                <w:b/>
                <w:bCs/>
                <w:sz w:val="22"/>
                <w:szCs w:val="22"/>
              </w:rPr>
              <w:t>skip full of rubbish</w:t>
            </w:r>
            <w:r w:rsidRPr="006A13F3">
              <w:rPr>
                <w:sz w:val="22"/>
                <w:szCs w:val="22"/>
              </w:rPr>
              <w:t xml:space="preserve"> from a refurbishment process of a bathroom. My research focuses on traditionalist Muslim response to the challenge of modernity. Studies of Muslim responses either neglect this response or misidentify it. They focus on responses that assimilate or dismiss modernity altogether. Traditionalist response does not see modernity as something to assimilate to or neglect; it avoids a binary way of thinking and looks beyond the dictates of </w:t>
            </w:r>
            <w:r w:rsidRPr="006A13F3">
              <w:rPr>
                <w:b/>
                <w:bCs/>
                <w:sz w:val="22"/>
                <w:szCs w:val="22"/>
              </w:rPr>
              <w:t>leave it or bin it</w:t>
            </w:r>
            <w:r w:rsidRPr="006A13F3">
              <w:rPr>
                <w:sz w:val="22"/>
                <w:szCs w:val="22"/>
              </w:rPr>
              <w:t xml:space="preserve">. Engaging this response can change our evaluation of tradition and ability to explore </w:t>
            </w:r>
            <w:r w:rsidRPr="006A13F3">
              <w:rPr>
                <w:b/>
                <w:bCs/>
                <w:sz w:val="22"/>
                <w:szCs w:val="22"/>
              </w:rPr>
              <w:t>recycling</w:t>
            </w:r>
            <w:r w:rsidRPr="006A13F3">
              <w:rPr>
                <w:sz w:val="22"/>
                <w:szCs w:val="22"/>
              </w:rPr>
              <w:t xml:space="preserve"> some of its components.</w:t>
            </w:r>
          </w:p>
        </w:tc>
      </w:tr>
    </w:tbl>
    <w:p w14:paraId="1EEAC071" w14:textId="2ADB675B" w:rsidR="005D77EE" w:rsidRDefault="005D77EE" w:rsidP="005D77EE">
      <w:pPr>
        <w:rPr>
          <w:sz w:val="22"/>
          <w:szCs w:val="22"/>
        </w:rPr>
      </w:pPr>
    </w:p>
    <w:p w14:paraId="3E18D790" w14:textId="5A12906B" w:rsidR="00A3010E" w:rsidRDefault="00A3010E" w:rsidP="005D77EE">
      <w:pPr>
        <w:rPr>
          <w:sz w:val="22"/>
          <w:szCs w:val="22"/>
        </w:rPr>
      </w:pPr>
    </w:p>
    <w:p w14:paraId="153B424C" w14:textId="1D6B26E4" w:rsidR="00A3010E" w:rsidRDefault="00A3010E" w:rsidP="005D77EE">
      <w:pPr>
        <w:rPr>
          <w:sz w:val="22"/>
          <w:szCs w:val="22"/>
        </w:rPr>
      </w:pPr>
    </w:p>
    <w:p w14:paraId="32BFC508" w14:textId="01F69356" w:rsidR="00A3010E" w:rsidRDefault="00A3010E" w:rsidP="005D77EE">
      <w:pPr>
        <w:rPr>
          <w:sz w:val="22"/>
          <w:szCs w:val="22"/>
        </w:rPr>
      </w:pPr>
    </w:p>
    <w:p w14:paraId="6B7EEC08" w14:textId="7F31EC09" w:rsidR="00A3010E" w:rsidRDefault="00A3010E" w:rsidP="005D77EE">
      <w:pPr>
        <w:rPr>
          <w:sz w:val="22"/>
          <w:szCs w:val="22"/>
        </w:rPr>
      </w:pPr>
    </w:p>
    <w:p w14:paraId="3939133A" w14:textId="5DA35895" w:rsidR="00A3010E" w:rsidRDefault="00A3010E" w:rsidP="005D77EE">
      <w:pPr>
        <w:rPr>
          <w:sz w:val="22"/>
          <w:szCs w:val="22"/>
        </w:rPr>
      </w:pPr>
    </w:p>
    <w:p w14:paraId="4FA5989E" w14:textId="14A0184C" w:rsidR="00A3010E" w:rsidRDefault="00A3010E" w:rsidP="005D77EE">
      <w:pPr>
        <w:rPr>
          <w:sz w:val="22"/>
          <w:szCs w:val="22"/>
        </w:rPr>
      </w:pPr>
    </w:p>
    <w:p w14:paraId="5CD0C62B" w14:textId="77777777" w:rsidR="00245F77" w:rsidRPr="00A57BE9" w:rsidRDefault="00245F77" w:rsidP="005D77EE">
      <w:pPr>
        <w:rPr>
          <w:sz w:val="22"/>
          <w:szCs w:val="22"/>
        </w:rPr>
      </w:pPr>
    </w:p>
    <w:p w14:paraId="71BD7948" w14:textId="42C5ED62" w:rsidR="0019117C" w:rsidRPr="00A57BE9" w:rsidRDefault="0019117C" w:rsidP="0019117C">
      <w:pPr>
        <w:pStyle w:val="ListParagraph"/>
        <w:numPr>
          <w:ilvl w:val="0"/>
          <w:numId w:val="5"/>
        </w:numPr>
        <w:rPr>
          <w:sz w:val="22"/>
          <w:szCs w:val="22"/>
        </w:rPr>
      </w:pPr>
      <w:r w:rsidRPr="00A57BE9">
        <w:rPr>
          <w:sz w:val="22"/>
          <w:szCs w:val="22"/>
        </w:rPr>
        <w:t xml:space="preserve">Ruby uses research data as the inspiration for this </w:t>
      </w:r>
      <w:r w:rsidR="00605268" w:rsidRPr="00A57BE9">
        <w:rPr>
          <w:sz w:val="22"/>
          <w:szCs w:val="22"/>
        </w:rPr>
        <w:t xml:space="preserve">image </w:t>
      </w:r>
      <w:r w:rsidR="00EC007F" w:rsidRPr="00A57BE9">
        <w:rPr>
          <w:sz w:val="22"/>
          <w:szCs w:val="22"/>
        </w:rPr>
        <w:t xml:space="preserve">but has creatively composed the images to be </w:t>
      </w:r>
      <w:r w:rsidR="00605268" w:rsidRPr="00A57BE9">
        <w:rPr>
          <w:sz w:val="22"/>
          <w:szCs w:val="22"/>
        </w:rPr>
        <w:t>reminiscent</w:t>
      </w:r>
      <w:r w:rsidR="00605268" w:rsidRPr="00A57BE9">
        <w:rPr>
          <w:sz w:val="22"/>
          <w:szCs w:val="22"/>
        </w:rPr>
        <w:t xml:space="preserve"> of </w:t>
      </w:r>
      <w:r w:rsidRPr="00A57BE9">
        <w:rPr>
          <w:sz w:val="22"/>
          <w:szCs w:val="22"/>
        </w:rPr>
        <w:t xml:space="preserve">pop-art </w:t>
      </w:r>
    </w:p>
    <w:p w14:paraId="78D7561A" w14:textId="2664DCB5" w:rsidR="00FF3C26" w:rsidRPr="00A57BE9" w:rsidRDefault="00EC007F" w:rsidP="0019117C">
      <w:pPr>
        <w:pStyle w:val="ListParagraph"/>
        <w:numPr>
          <w:ilvl w:val="0"/>
          <w:numId w:val="5"/>
        </w:numPr>
        <w:rPr>
          <w:sz w:val="22"/>
          <w:szCs w:val="22"/>
        </w:rPr>
      </w:pPr>
      <w:r w:rsidRPr="00A57BE9">
        <w:rPr>
          <w:sz w:val="22"/>
          <w:szCs w:val="22"/>
        </w:rPr>
        <w:t>Although the mice do form a part of the research itself</w:t>
      </w:r>
      <w:r w:rsidR="002F0674" w:rsidRPr="00A57BE9">
        <w:rPr>
          <w:sz w:val="22"/>
          <w:szCs w:val="22"/>
        </w:rPr>
        <w:t xml:space="preserve">, this demonstrates how you can focus on a specific </w:t>
      </w:r>
      <w:r w:rsidR="0082363F" w:rsidRPr="00A57BE9">
        <w:rPr>
          <w:sz w:val="22"/>
          <w:szCs w:val="22"/>
        </w:rPr>
        <w:t>element</w:t>
      </w:r>
      <w:r w:rsidR="002F0674" w:rsidRPr="00A57BE9">
        <w:rPr>
          <w:sz w:val="22"/>
          <w:szCs w:val="22"/>
        </w:rPr>
        <w:t xml:space="preserve"> of your research</w:t>
      </w:r>
      <w:r w:rsidR="00FF3C26" w:rsidRPr="00A57BE9">
        <w:rPr>
          <w:sz w:val="22"/>
          <w:szCs w:val="22"/>
        </w:rPr>
        <w:t xml:space="preserve"> </w:t>
      </w:r>
      <w:r w:rsidR="0082363F" w:rsidRPr="00A57BE9">
        <w:rPr>
          <w:sz w:val="22"/>
          <w:szCs w:val="22"/>
        </w:rPr>
        <w:t xml:space="preserve">process, </w:t>
      </w:r>
      <w:r w:rsidR="00FF3C26" w:rsidRPr="00A57BE9">
        <w:rPr>
          <w:sz w:val="22"/>
          <w:szCs w:val="22"/>
        </w:rPr>
        <w:t>creatively mak</w:t>
      </w:r>
      <w:r w:rsidR="0082363F" w:rsidRPr="00A57BE9">
        <w:rPr>
          <w:sz w:val="22"/>
          <w:szCs w:val="22"/>
        </w:rPr>
        <w:t>ing</w:t>
      </w:r>
      <w:r w:rsidR="00FF3C26" w:rsidRPr="00A57BE9">
        <w:rPr>
          <w:sz w:val="22"/>
          <w:szCs w:val="22"/>
        </w:rPr>
        <w:t xml:space="preserve"> it more visually appealing in a digital collage.</w:t>
      </w:r>
    </w:p>
    <w:p w14:paraId="0DAC6010" w14:textId="77777777" w:rsidR="00476540" w:rsidRPr="00A57BE9" w:rsidRDefault="00476540" w:rsidP="0019117C">
      <w:pPr>
        <w:pStyle w:val="ListParagraph"/>
        <w:numPr>
          <w:ilvl w:val="0"/>
          <w:numId w:val="5"/>
        </w:numPr>
        <w:rPr>
          <w:sz w:val="22"/>
          <w:szCs w:val="22"/>
        </w:rPr>
      </w:pPr>
      <w:r w:rsidRPr="00A57BE9">
        <w:rPr>
          <w:sz w:val="22"/>
          <w:szCs w:val="22"/>
        </w:rPr>
        <w:t xml:space="preserve">Ruby has a strong title which provides clear direction to the aim of her image, which is confirmed in her narrative. </w:t>
      </w:r>
    </w:p>
    <w:p w14:paraId="3E30A943" w14:textId="17257FAF" w:rsidR="00EC007F" w:rsidRPr="00A57BE9" w:rsidRDefault="00FF3C26" w:rsidP="0019117C">
      <w:pPr>
        <w:pStyle w:val="ListParagraph"/>
        <w:numPr>
          <w:ilvl w:val="0"/>
          <w:numId w:val="5"/>
        </w:numPr>
        <w:rPr>
          <w:sz w:val="22"/>
          <w:szCs w:val="22"/>
        </w:rPr>
      </w:pPr>
      <w:r w:rsidRPr="00A57BE9">
        <w:rPr>
          <w:sz w:val="22"/>
          <w:szCs w:val="22"/>
        </w:rPr>
        <w:t>Ruby</w:t>
      </w:r>
      <w:r w:rsidR="00EB33EE" w:rsidRPr="00A57BE9">
        <w:rPr>
          <w:sz w:val="22"/>
          <w:szCs w:val="22"/>
        </w:rPr>
        <w:t>’s entry is particularly engaging as it explores a</w:t>
      </w:r>
      <w:r w:rsidR="00245F77">
        <w:rPr>
          <w:sz w:val="22"/>
          <w:szCs w:val="22"/>
        </w:rPr>
        <w:t xml:space="preserve"> potentially </w:t>
      </w:r>
      <w:r w:rsidR="00EB33EE" w:rsidRPr="00A57BE9">
        <w:rPr>
          <w:sz w:val="22"/>
          <w:szCs w:val="22"/>
        </w:rPr>
        <w:t xml:space="preserve">controversial </w:t>
      </w:r>
      <w:r w:rsidR="00245F77">
        <w:rPr>
          <w:sz w:val="22"/>
          <w:szCs w:val="22"/>
        </w:rPr>
        <w:t xml:space="preserve">topic </w:t>
      </w:r>
      <w:r w:rsidR="00EB33EE" w:rsidRPr="00A57BE9">
        <w:rPr>
          <w:sz w:val="22"/>
          <w:szCs w:val="22"/>
        </w:rPr>
        <w:t xml:space="preserve">– animal testing. Providing an insight that may challenge the viewers </w:t>
      </w:r>
      <w:r w:rsidR="00476540" w:rsidRPr="00A57BE9">
        <w:rPr>
          <w:sz w:val="22"/>
          <w:szCs w:val="22"/>
        </w:rPr>
        <w:t>own</w:t>
      </w:r>
      <w:r w:rsidR="00476540" w:rsidRPr="00A57BE9">
        <w:rPr>
          <w:sz w:val="22"/>
          <w:szCs w:val="22"/>
        </w:rPr>
        <w:t xml:space="preserve"> point of view</w:t>
      </w:r>
      <w:r w:rsidR="00476540" w:rsidRPr="00A57BE9">
        <w:rPr>
          <w:sz w:val="22"/>
          <w:szCs w:val="22"/>
        </w:rPr>
        <w:t>.</w:t>
      </w:r>
    </w:p>
    <w:tbl>
      <w:tblPr>
        <w:tblStyle w:val="TableGrid"/>
        <w:tblW w:w="10065" w:type="dxa"/>
        <w:tblInd w:w="-147" w:type="dxa"/>
        <w:tblLook w:val="04A0" w:firstRow="1" w:lastRow="0" w:firstColumn="1" w:lastColumn="0" w:noHBand="0" w:noVBand="1"/>
      </w:tblPr>
      <w:tblGrid>
        <w:gridCol w:w="2977"/>
        <w:gridCol w:w="7088"/>
      </w:tblGrid>
      <w:tr w:rsidR="00B647BC" w14:paraId="155CCD00" w14:textId="77777777" w:rsidTr="00980D0B">
        <w:trPr>
          <w:trHeight w:val="478"/>
        </w:trPr>
        <w:tc>
          <w:tcPr>
            <w:tcW w:w="2977" w:type="dxa"/>
            <w:vMerge w:val="restart"/>
          </w:tcPr>
          <w:p w14:paraId="64E0E176" w14:textId="12F177FA" w:rsidR="004747BF" w:rsidRDefault="00B647BC" w:rsidP="00CD326F">
            <w:r>
              <w:rPr>
                <w:noProof/>
              </w:rPr>
              <w:drawing>
                <wp:inline distT="0" distB="0" distL="0" distR="0" wp14:anchorId="2C80FA92" wp14:editId="1E5533E0">
                  <wp:extent cx="1741018" cy="152283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7146" cy="1545689"/>
                          </a:xfrm>
                          <a:prstGeom prst="rect">
                            <a:avLst/>
                          </a:prstGeom>
                          <a:noFill/>
                          <a:ln>
                            <a:noFill/>
                          </a:ln>
                        </pic:spPr>
                      </pic:pic>
                    </a:graphicData>
                  </a:graphic>
                </wp:inline>
              </w:drawing>
            </w:r>
          </w:p>
        </w:tc>
        <w:tc>
          <w:tcPr>
            <w:tcW w:w="7088" w:type="dxa"/>
          </w:tcPr>
          <w:p w14:paraId="19FCE152" w14:textId="76680375" w:rsidR="004747BF" w:rsidRPr="00980D0B" w:rsidRDefault="00B647BC" w:rsidP="00F92105">
            <w:pPr>
              <w:spacing w:after="160" w:line="259" w:lineRule="auto"/>
              <w:rPr>
                <w:b/>
                <w:bCs/>
                <w:sz w:val="22"/>
                <w:szCs w:val="22"/>
              </w:rPr>
            </w:pPr>
            <w:r w:rsidRPr="00980D0B">
              <w:rPr>
                <w:b/>
                <w:bCs/>
                <w:sz w:val="22"/>
                <w:szCs w:val="22"/>
              </w:rPr>
              <w:t>Ruby Persaud - College of Medical and Dental Sciences</w:t>
            </w:r>
          </w:p>
        </w:tc>
      </w:tr>
      <w:tr w:rsidR="00B647BC" w14:paraId="2114519F" w14:textId="77777777" w:rsidTr="00980D0B">
        <w:trPr>
          <w:trHeight w:val="359"/>
        </w:trPr>
        <w:tc>
          <w:tcPr>
            <w:tcW w:w="2977" w:type="dxa"/>
            <w:vMerge/>
          </w:tcPr>
          <w:p w14:paraId="2431340C" w14:textId="77777777" w:rsidR="004747BF" w:rsidRPr="0096752B" w:rsidRDefault="004747BF" w:rsidP="00CD326F">
            <w:pPr>
              <w:rPr>
                <w:noProof/>
              </w:rPr>
            </w:pPr>
          </w:p>
        </w:tc>
        <w:tc>
          <w:tcPr>
            <w:tcW w:w="7088" w:type="dxa"/>
          </w:tcPr>
          <w:p w14:paraId="0EA668EF" w14:textId="5699C3BA" w:rsidR="004747BF" w:rsidRPr="006A13F3" w:rsidRDefault="00F92105" w:rsidP="00F92105">
            <w:pPr>
              <w:spacing w:after="160" w:line="259" w:lineRule="auto"/>
              <w:rPr>
                <w:sz w:val="22"/>
                <w:szCs w:val="22"/>
              </w:rPr>
            </w:pPr>
            <w:r w:rsidRPr="006A13F3">
              <w:rPr>
                <w:sz w:val="22"/>
                <w:szCs w:val="22"/>
              </w:rPr>
              <w:t xml:space="preserve">Gatekeepers to research </w:t>
            </w:r>
          </w:p>
        </w:tc>
      </w:tr>
      <w:tr w:rsidR="00B647BC" w14:paraId="40D01F80" w14:textId="77777777" w:rsidTr="00980D0B">
        <w:trPr>
          <w:trHeight w:val="2874"/>
        </w:trPr>
        <w:tc>
          <w:tcPr>
            <w:tcW w:w="2977" w:type="dxa"/>
            <w:vMerge/>
          </w:tcPr>
          <w:p w14:paraId="238C0E77" w14:textId="77777777" w:rsidR="004747BF" w:rsidRPr="0096752B" w:rsidRDefault="004747BF" w:rsidP="00CD326F">
            <w:pPr>
              <w:rPr>
                <w:noProof/>
              </w:rPr>
            </w:pPr>
          </w:p>
        </w:tc>
        <w:tc>
          <w:tcPr>
            <w:tcW w:w="7088" w:type="dxa"/>
          </w:tcPr>
          <w:p w14:paraId="4F13AC91" w14:textId="61C75643" w:rsidR="004747BF" w:rsidRPr="006A13F3" w:rsidRDefault="00F92105" w:rsidP="00F92105">
            <w:pPr>
              <w:spacing w:after="160" w:line="259" w:lineRule="auto"/>
              <w:rPr>
                <w:sz w:val="22"/>
                <w:szCs w:val="22"/>
              </w:rPr>
            </w:pPr>
            <w:r w:rsidRPr="006A13F3">
              <w:rPr>
                <w:sz w:val="22"/>
                <w:szCs w:val="22"/>
              </w:rPr>
              <w:t>Animals have played an integral role in providing breakthrough treatments and medication. What most fail to understand about this research is the humility and respect it takes to work with them. My PhD research uses mice to investigate the immune system, and how vaccines protect against invasive Salmonella infection, a leading cause of morbidity and mortality worldwide. Without mice, we would not be able to achieve the research required for making effective vaccines that protect current and future generations. This piece is in dedication to the animals that make my work possible. The images you see are from imaging experiments that show individual cells in immune organs.</w:t>
            </w:r>
          </w:p>
        </w:tc>
      </w:tr>
    </w:tbl>
    <w:p w14:paraId="71E121F6" w14:textId="0C4EDA7F" w:rsidR="006B7016" w:rsidRDefault="006B7016" w:rsidP="005D77EE"/>
    <w:p w14:paraId="3EEDF51D" w14:textId="77777777" w:rsidR="00551551" w:rsidRPr="00A3010E" w:rsidRDefault="00476540" w:rsidP="00551551">
      <w:pPr>
        <w:pStyle w:val="ListParagraph"/>
        <w:numPr>
          <w:ilvl w:val="0"/>
          <w:numId w:val="6"/>
        </w:numPr>
        <w:rPr>
          <w:sz w:val="22"/>
          <w:szCs w:val="22"/>
        </w:rPr>
      </w:pPr>
      <w:r w:rsidRPr="00A3010E">
        <w:rPr>
          <w:sz w:val="22"/>
          <w:szCs w:val="22"/>
        </w:rPr>
        <w:t xml:space="preserve">Natasha </w:t>
      </w:r>
      <w:r w:rsidR="00551551" w:rsidRPr="00A3010E">
        <w:rPr>
          <w:sz w:val="22"/>
          <w:szCs w:val="22"/>
        </w:rPr>
        <w:t xml:space="preserve">manages to </w:t>
      </w:r>
      <w:r w:rsidRPr="00A3010E">
        <w:rPr>
          <w:sz w:val="22"/>
          <w:szCs w:val="22"/>
        </w:rPr>
        <w:t xml:space="preserve">capture </w:t>
      </w:r>
      <w:r w:rsidR="00551551" w:rsidRPr="00A3010E">
        <w:rPr>
          <w:sz w:val="22"/>
          <w:szCs w:val="22"/>
        </w:rPr>
        <w:t xml:space="preserve">her </w:t>
      </w:r>
      <w:r w:rsidRPr="00A3010E">
        <w:rPr>
          <w:sz w:val="22"/>
          <w:szCs w:val="22"/>
        </w:rPr>
        <w:t xml:space="preserve">research effectively with this </w:t>
      </w:r>
      <w:r w:rsidR="00551551" w:rsidRPr="00A3010E">
        <w:rPr>
          <w:sz w:val="22"/>
          <w:szCs w:val="22"/>
        </w:rPr>
        <w:t xml:space="preserve">bold </w:t>
      </w:r>
      <w:proofErr w:type="gramStart"/>
      <w:r w:rsidRPr="00A3010E">
        <w:rPr>
          <w:sz w:val="22"/>
          <w:szCs w:val="22"/>
        </w:rPr>
        <w:t>one word</w:t>
      </w:r>
      <w:proofErr w:type="gramEnd"/>
      <w:r w:rsidRPr="00A3010E">
        <w:rPr>
          <w:sz w:val="22"/>
          <w:szCs w:val="22"/>
        </w:rPr>
        <w:t xml:space="preserve"> title.</w:t>
      </w:r>
    </w:p>
    <w:p w14:paraId="0D4AE423" w14:textId="77777777" w:rsidR="00B03551" w:rsidRPr="00A3010E" w:rsidRDefault="00476540" w:rsidP="00551551">
      <w:pPr>
        <w:pStyle w:val="ListParagraph"/>
        <w:numPr>
          <w:ilvl w:val="0"/>
          <w:numId w:val="6"/>
        </w:numPr>
        <w:rPr>
          <w:sz w:val="22"/>
          <w:szCs w:val="22"/>
        </w:rPr>
      </w:pPr>
      <w:r w:rsidRPr="00A3010E">
        <w:rPr>
          <w:sz w:val="22"/>
          <w:szCs w:val="22"/>
        </w:rPr>
        <w:t>Natasha’s entry shows a pot of tea being poured for two</w:t>
      </w:r>
      <w:r w:rsidR="00B03551" w:rsidRPr="00A3010E">
        <w:rPr>
          <w:sz w:val="22"/>
          <w:szCs w:val="22"/>
        </w:rPr>
        <w:t xml:space="preserve"> in an image that has been composed by the researcher as a representation of the research themes.</w:t>
      </w:r>
    </w:p>
    <w:p w14:paraId="20FF2844" w14:textId="7591F057" w:rsidR="004747BF" w:rsidRDefault="00415916" w:rsidP="008929E5">
      <w:pPr>
        <w:pStyle w:val="ListParagraph"/>
        <w:numPr>
          <w:ilvl w:val="0"/>
          <w:numId w:val="6"/>
        </w:numPr>
      </w:pPr>
      <w:r w:rsidRPr="00A3010E">
        <w:rPr>
          <w:sz w:val="22"/>
          <w:szCs w:val="22"/>
        </w:rPr>
        <w:t>The image narrative is very effective in demonstrating how this image and title relates to their research.</w:t>
      </w:r>
    </w:p>
    <w:tbl>
      <w:tblPr>
        <w:tblStyle w:val="TableGrid"/>
        <w:tblW w:w="10065" w:type="dxa"/>
        <w:tblInd w:w="-147" w:type="dxa"/>
        <w:tblLook w:val="04A0" w:firstRow="1" w:lastRow="0" w:firstColumn="1" w:lastColumn="0" w:noHBand="0" w:noVBand="1"/>
      </w:tblPr>
      <w:tblGrid>
        <w:gridCol w:w="3072"/>
        <w:gridCol w:w="6993"/>
      </w:tblGrid>
      <w:tr w:rsidR="00980D0B" w14:paraId="741797B8" w14:textId="77777777" w:rsidTr="00980D0B">
        <w:trPr>
          <w:trHeight w:val="377"/>
        </w:trPr>
        <w:tc>
          <w:tcPr>
            <w:tcW w:w="2977" w:type="dxa"/>
            <w:vMerge w:val="restart"/>
          </w:tcPr>
          <w:p w14:paraId="19095EA4" w14:textId="5346A7F3" w:rsidR="006B7016" w:rsidRDefault="006B7016" w:rsidP="00CD326F">
            <w:r>
              <w:rPr>
                <w:noProof/>
              </w:rPr>
              <w:drawing>
                <wp:inline distT="0" distB="0" distL="0" distR="0" wp14:anchorId="0D372327" wp14:editId="10F90214">
                  <wp:extent cx="1814170" cy="12210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431" cy="1243432"/>
                          </a:xfrm>
                          <a:prstGeom prst="rect">
                            <a:avLst/>
                          </a:prstGeom>
                          <a:noFill/>
                          <a:ln>
                            <a:noFill/>
                          </a:ln>
                        </pic:spPr>
                      </pic:pic>
                    </a:graphicData>
                  </a:graphic>
                </wp:inline>
              </w:drawing>
            </w:r>
          </w:p>
        </w:tc>
        <w:tc>
          <w:tcPr>
            <w:tcW w:w="7088" w:type="dxa"/>
          </w:tcPr>
          <w:p w14:paraId="38E99576" w14:textId="7D728626" w:rsidR="006B7016" w:rsidRPr="00980D0B" w:rsidRDefault="0076651C" w:rsidP="0076651C">
            <w:pPr>
              <w:spacing w:after="160" w:line="259" w:lineRule="auto"/>
              <w:rPr>
                <w:b/>
                <w:bCs/>
                <w:sz w:val="22"/>
                <w:szCs w:val="22"/>
              </w:rPr>
            </w:pPr>
            <w:r w:rsidRPr="00980D0B">
              <w:rPr>
                <w:b/>
                <w:bCs/>
                <w:sz w:val="22"/>
                <w:szCs w:val="22"/>
              </w:rPr>
              <w:t>Natasha Nicholls - College of Social Sciences</w:t>
            </w:r>
          </w:p>
        </w:tc>
      </w:tr>
      <w:tr w:rsidR="00980D0B" w14:paraId="5BE28336" w14:textId="77777777" w:rsidTr="00980D0B">
        <w:trPr>
          <w:trHeight w:val="444"/>
        </w:trPr>
        <w:tc>
          <w:tcPr>
            <w:tcW w:w="2977" w:type="dxa"/>
            <w:vMerge/>
          </w:tcPr>
          <w:p w14:paraId="48247577" w14:textId="77777777" w:rsidR="006B7016" w:rsidRPr="0096752B" w:rsidRDefault="006B7016" w:rsidP="00CD326F">
            <w:pPr>
              <w:rPr>
                <w:noProof/>
              </w:rPr>
            </w:pPr>
          </w:p>
        </w:tc>
        <w:tc>
          <w:tcPr>
            <w:tcW w:w="7088" w:type="dxa"/>
          </w:tcPr>
          <w:p w14:paraId="39BB2761" w14:textId="0A47DA9B" w:rsidR="006B7016" w:rsidRPr="006A13F3" w:rsidRDefault="0076651C" w:rsidP="0076651C">
            <w:pPr>
              <w:spacing w:after="160" w:line="259" w:lineRule="auto"/>
              <w:rPr>
                <w:sz w:val="22"/>
                <w:szCs w:val="22"/>
              </w:rPr>
            </w:pPr>
            <w:r w:rsidRPr="006A13F3">
              <w:rPr>
                <w:sz w:val="22"/>
                <w:szCs w:val="22"/>
              </w:rPr>
              <w:t xml:space="preserve">Welcome </w:t>
            </w:r>
          </w:p>
        </w:tc>
      </w:tr>
      <w:tr w:rsidR="00980D0B" w14:paraId="4CDC3497" w14:textId="77777777" w:rsidTr="00980D0B">
        <w:trPr>
          <w:trHeight w:val="566"/>
        </w:trPr>
        <w:tc>
          <w:tcPr>
            <w:tcW w:w="2977" w:type="dxa"/>
            <w:vMerge/>
          </w:tcPr>
          <w:p w14:paraId="1BD099B1" w14:textId="77777777" w:rsidR="006B7016" w:rsidRPr="0096752B" w:rsidRDefault="006B7016" w:rsidP="00CD326F">
            <w:pPr>
              <w:rPr>
                <w:noProof/>
              </w:rPr>
            </w:pPr>
          </w:p>
        </w:tc>
        <w:tc>
          <w:tcPr>
            <w:tcW w:w="7088" w:type="dxa"/>
          </w:tcPr>
          <w:p w14:paraId="2CA4E46F" w14:textId="60539CD4" w:rsidR="006B7016" w:rsidRPr="006A13F3" w:rsidRDefault="0076651C" w:rsidP="0076651C">
            <w:pPr>
              <w:spacing w:after="160" w:line="259" w:lineRule="auto"/>
              <w:rPr>
                <w:sz w:val="22"/>
                <w:szCs w:val="22"/>
              </w:rPr>
            </w:pPr>
            <w:r w:rsidRPr="006A13F3">
              <w:rPr>
                <w:sz w:val="22"/>
                <w:szCs w:val="22"/>
              </w:rPr>
              <w:t>The UK Community Sponsorship Scheme empowers volunteer groups to resettle and support a refugee family into their local community. They provide a warm welcome to a family in need, meeting them at the airport and providing financial, practical and emotional support as the family adjusts to their new life. Tea is a universal symbol of welcome; sharing a cup of tea is informal and offers comfort. It is likely to have been shared between the volunteers during the planning stages, as well as being offered to the family once they have arrived in the community. My research focuses on the motivations of the volunteers, why do they get involved?</w:t>
            </w:r>
          </w:p>
        </w:tc>
      </w:tr>
    </w:tbl>
    <w:p w14:paraId="6EF3C63F" w14:textId="77777777" w:rsidR="006B7016" w:rsidRDefault="006B7016" w:rsidP="005D77EE"/>
    <w:p w14:paraId="34E242CE" w14:textId="497B70B7" w:rsidR="00262942" w:rsidRDefault="00262942"/>
    <w:p w14:paraId="5944D78F" w14:textId="77777777" w:rsidR="00262942" w:rsidRDefault="00262942" w:rsidP="00262942">
      <w:bookmarkStart w:id="0" w:name="_GoBack"/>
      <w:bookmarkEnd w:id="0"/>
    </w:p>
    <w:sectPr w:rsidR="00262942" w:rsidSect="00262942">
      <w:headerReference w:type="default" r:id="rId18"/>
      <w:footerReference w:type="default" r:id="rId19"/>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7A25" w14:textId="77777777" w:rsidR="00C91A92" w:rsidRDefault="00C91A92" w:rsidP="00262942">
      <w:r>
        <w:separator/>
      </w:r>
    </w:p>
  </w:endnote>
  <w:endnote w:type="continuationSeparator" w:id="0">
    <w:p w14:paraId="30B417DD" w14:textId="77777777" w:rsidR="00C91A92" w:rsidRDefault="00C91A92" w:rsidP="0026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2C54" w14:textId="566480FC" w:rsidR="00262942" w:rsidRDefault="00262942">
    <w:pPr>
      <w:pStyle w:val="Footer"/>
    </w:pPr>
    <w:r>
      <w:rPr>
        <w:noProof/>
      </w:rPr>
      <w:drawing>
        <wp:anchor distT="0" distB="0" distL="114300" distR="114300" simplePos="0" relativeHeight="251659264" behindDoc="1" locked="0" layoutInCell="1" allowOverlap="1" wp14:anchorId="68B5175A" wp14:editId="784ACA9E">
          <wp:simplePos x="0" y="0"/>
          <wp:positionH relativeFrom="column">
            <wp:posOffset>4939694</wp:posOffset>
          </wp:positionH>
          <wp:positionV relativeFrom="paragraph">
            <wp:posOffset>-1004864</wp:posOffset>
          </wp:positionV>
          <wp:extent cx="1360078" cy="1455420"/>
          <wp:effectExtent l="0" t="0" r="0" b="5080"/>
          <wp:wrapTight wrapText="bothSides">
            <wp:wrapPolygon edited="0">
              <wp:start x="0" y="0"/>
              <wp:lineTo x="0" y="21487"/>
              <wp:lineTo x="21388" y="21487"/>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l="76253" t="82035"/>
                  <a:stretch/>
                </pic:blipFill>
                <pic:spPr bwMode="auto">
                  <a:xfrm>
                    <a:off x="0" y="0"/>
                    <a:ext cx="1360078"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0864" w14:textId="77777777" w:rsidR="00C91A92" w:rsidRDefault="00C91A92" w:rsidP="00262942">
      <w:r>
        <w:separator/>
      </w:r>
    </w:p>
  </w:footnote>
  <w:footnote w:type="continuationSeparator" w:id="0">
    <w:p w14:paraId="502FFC81" w14:textId="77777777" w:rsidR="00C91A92" w:rsidRDefault="00C91A92" w:rsidP="0026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41FE" w14:textId="5DE95260" w:rsidR="00262942" w:rsidRDefault="00262942">
    <w:pPr>
      <w:pStyle w:val="Header"/>
    </w:pPr>
    <w:r>
      <w:rPr>
        <w:noProof/>
      </w:rPr>
      <w:drawing>
        <wp:anchor distT="0" distB="0" distL="114300" distR="114300" simplePos="0" relativeHeight="251658240" behindDoc="0" locked="0" layoutInCell="1" allowOverlap="1" wp14:anchorId="5B0A0E21" wp14:editId="4C5779A1">
          <wp:simplePos x="0" y="0"/>
          <wp:positionH relativeFrom="margin">
            <wp:posOffset>-669290</wp:posOffset>
          </wp:positionH>
          <wp:positionV relativeFrom="margin">
            <wp:posOffset>-901065</wp:posOffset>
          </wp:positionV>
          <wp:extent cx="4776470" cy="1256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r="31273" b="87216"/>
                  <a:stretch/>
                </pic:blipFill>
                <pic:spPr bwMode="auto">
                  <a:xfrm>
                    <a:off x="0" y="0"/>
                    <a:ext cx="4776470" cy="1256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077"/>
    <w:multiLevelType w:val="hybridMultilevel"/>
    <w:tmpl w:val="9B08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C21B1"/>
    <w:multiLevelType w:val="hybridMultilevel"/>
    <w:tmpl w:val="583E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1282"/>
    <w:multiLevelType w:val="hybridMultilevel"/>
    <w:tmpl w:val="85D8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B344A"/>
    <w:multiLevelType w:val="hybridMultilevel"/>
    <w:tmpl w:val="8C7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40E4C"/>
    <w:multiLevelType w:val="hybridMultilevel"/>
    <w:tmpl w:val="6DE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83F8A"/>
    <w:multiLevelType w:val="hybridMultilevel"/>
    <w:tmpl w:val="B3A6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42"/>
    <w:rsid w:val="000030A2"/>
    <w:rsid w:val="000334A3"/>
    <w:rsid w:val="00040E59"/>
    <w:rsid w:val="000875CF"/>
    <w:rsid w:val="000C1791"/>
    <w:rsid w:val="000C4F8A"/>
    <w:rsid w:val="0011097E"/>
    <w:rsid w:val="00162034"/>
    <w:rsid w:val="0019117C"/>
    <w:rsid w:val="001A3035"/>
    <w:rsid w:val="001D6791"/>
    <w:rsid w:val="00245F77"/>
    <w:rsid w:val="00262942"/>
    <w:rsid w:val="002F0674"/>
    <w:rsid w:val="002F30AE"/>
    <w:rsid w:val="00353AA6"/>
    <w:rsid w:val="00361C14"/>
    <w:rsid w:val="003C0E89"/>
    <w:rsid w:val="003E31AD"/>
    <w:rsid w:val="00415916"/>
    <w:rsid w:val="00436650"/>
    <w:rsid w:val="00441EAA"/>
    <w:rsid w:val="004747BF"/>
    <w:rsid w:val="00476540"/>
    <w:rsid w:val="004A4D52"/>
    <w:rsid w:val="004D4769"/>
    <w:rsid w:val="00510C08"/>
    <w:rsid w:val="0054186A"/>
    <w:rsid w:val="00546962"/>
    <w:rsid w:val="00551551"/>
    <w:rsid w:val="00560AF6"/>
    <w:rsid w:val="005949E6"/>
    <w:rsid w:val="005969CA"/>
    <w:rsid w:val="005D77EE"/>
    <w:rsid w:val="005E705F"/>
    <w:rsid w:val="00605268"/>
    <w:rsid w:val="00615ACC"/>
    <w:rsid w:val="00633DB2"/>
    <w:rsid w:val="00681FE2"/>
    <w:rsid w:val="006A13F3"/>
    <w:rsid w:val="006B7016"/>
    <w:rsid w:val="006E68D8"/>
    <w:rsid w:val="006F4B05"/>
    <w:rsid w:val="0076651C"/>
    <w:rsid w:val="007A3BDE"/>
    <w:rsid w:val="007B5997"/>
    <w:rsid w:val="007E55B9"/>
    <w:rsid w:val="0082363F"/>
    <w:rsid w:val="008F68F1"/>
    <w:rsid w:val="00933CE2"/>
    <w:rsid w:val="00957B4A"/>
    <w:rsid w:val="0096752B"/>
    <w:rsid w:val="00980D0B"/>
    <w:rsid w:val="009D6478"/>
    <w:rsid w:val="00A3010E"/>
    <w:rsid w:val="00A57BE9"/>
    <w:rsid w:val="00A92B97"/>
    <w:rsid w:val="00AA0500"/>
    <w:rsid w:val="00B03551"/>
    <w:rsid w:val="00B55213"/>
    <w:rsid w:val="00B647BC"/>
    <w:rsid w:val="00B74D3F"/>
    <w:rsid w:val="00BC14FC"/>
    <w:rsid w:val="00BD1AD3"/>
    <w:rsid w:val="00BF2B45"/>
    <w:rsid w:val="00C552C5"/>
    <w:rsid w:val="00C750D5"/>
    <w:rsid w:val="00C91A92"/>
    <w:rsid w:val="00D21E8A"/>
    <w:rsid w:val="00D3052F"/>
    <w:rsid w:val="00D84111"/>
    <w:rsid w:val="00D850C9"/>
    <w:rsid w:val="00D90F2E"/>
    <w:rsid w:val="00DF05B7"/>
    <w:rsid w:val="00E24B8A"/>
    <w:rsid w:val="00E671F2"/>
    <w:rsid w:val="00EB33EE"/>
    <w:rsid w:val="00EC007F"/>
    <w:rsid w:val="00F92105"/>
    <w:rsid w:val="00FA74D5"/>
    <w:rsid w:val="00FB3664"/>
    <w:rsid w:val="00FF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7B259"/>
  <w15:chartTrackingRefBased/>
  <w15:docId w15:val="{7CAB8DDE-F36A-1D46-8EDF-7A36998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20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42"/>
    <w:pPr>
      <w:tabs>
        <w:tab w:val="center" w:pos="4680"/>
        <w:tab w:val="right" w:pos="9360"/>
      </w:tabs>
    </w:pPr>
  </w:style>
  <w:style w:type="character" w:customStyle="1" w:styleId="HeaderChar">
    <w:name w:val="Header Char"/>
    <w:basedOn w:val="DefaultParagraphFont"/>
    <w:link w:val="Header"/>
    <w:uiPriority w:val="99"/>
    <w:rsid w:val="00262942"/>
  </w:style>
  <w:style w:type="paragraph" w:styleId="Footer">
    <w:name w:val="footer"/>
    <w:basedOn w:val="Normal"/>
    <w:link w:val="FooterChar"/>
    <w:uiPriority w:val="99"/>
    <w:unhideWhenUsed/>
    <w:rsid w:val="00262942"/>
    <w:pPr>
      <w:tabs>
        <w:tab w:val="center" w:pos="4680"/>
        <w:tab w:val="right" w:pos="9360"/>
      </w:tabs>
    </w:pPr>
  </w:style>
  <w:style w:type="character" w:customStyle="1" w:styleId="FooterChar">
    <w:name w:val="Footer Char"/>
    <w:basedOn w:val="DefaultParagraphFont"/>
    <w:link w:val="Footer"/>
    <w:uiPriority w:val="99"/>
    <w:rsid w:val="00262942"/>
  </w:style>
  <w:style w:type="paragraph" w:styleId="NormalWeb">
    <w:name w:val="Normal (Web)"/>
    <w:basedOn w:val="Normal"/>
    <w:uiPriority w:val="99"/>
    <w:semiHidden/>
    <w:unhideWhenUsed/>
    <w:rsid w:val="00262942"/>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7B59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9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9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6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203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6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ad5ddeb7ddcabb8833d78a4c98bc0562">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3150b355ebd9a6e0819fc6b83548cc47"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DAE3-225E-45A0-82F7-C117B920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FE29D-F362-4C8B-9F92-38DCDFA37FF0}">
  <ds:schemaRefs>
    <ds:schemaRef ds:uri="http://schemas.microsoft.com/sharepoint/v3/contenttype/forms"/>
  </ds:schemaRefs>
</ds:datastoreItem>
</file>

<file path=customXml/itemProps3.xml><?xml version="1.0" encoding="utf-8"?>
<ds:datastoreItem xmlns:ds="http://schemas.openxmlformats.org/officeDocument/2006/customXml" ds:itemID="{3C6484AE-9F2F-41BA-9671-F2B34BEA3A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BB9A1-1E61-481C-A91A-7CC709AD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Aylin (Creative Media)</dc:creator>
  <cp:keywords/>
  <dc:description/>
  <cp:lastModifiedBy>Katie Mill (Student Services)</cp:lastModifiedBy>
  <cp:revision>2</cp:revision>
  <dcterms:created xsi:type="dcterms:W3CDTF">2020-12-16T16:51:00Z</dcterms:created>
  <dcterms:modified xsi:type="dcterms:W3CDTF">2020-12-16T16:51:00Z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